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0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9"/>
        <w:gridCol w:w="1463"/>
        <w:gridCol w:w="1245"/>
        <w:gridCol w:w="1080"/>
        <w:gridCol w:w="1080"/>
        <w:gridCol w:w="4493"/>
        <w:gridCol w:w="2606"/>
        <w:gridCol w:w="1575"/>
      </w:tblGrid>
      <w:tr w14:paraId="61EBB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519" w:type="dxa"/>
            <w:tcBorders>
              <w:top w:val="nil"/>
              <w:left w:val="nil"/>
              <w:bottom w:val="nil"/>
              <w:right w:val="nil"/>
            </w:tcBorders>
            <w:shd w:val="clear" w:color="auto" w:fill="auto"/>
            <w:noWrap/>
            <w:vAlign w:val="center"/>
          </w:tcPr>
          <w:p w14:paraId="50EF5715">
            <w:pPr>
              <w:keepNext w:val="0"/>
              <w:keepLines w:val="0"/>
              <w:widowControl/>
              <w:suppressLineNumbers w:val="0"/>
              <w:ind w:firstLine="320" w:firstLineChars="100"/>
              <w:jc w:val="left"/>
              <w:textAlignment w:val="center"/>
              <w:rPr>
                <w:rFonts w:hint="eastAsia" w:ascii="宋体" w:hAnsi="宋体" w:eastAsia="宋体" w:cs="宋体"/>
                <w:i w:val="0"/>
                <w:iCs w:val="0"/>
                <w:color w:val="000000"/>
                <w:sz w:val="22"/>
                <w:szCs w:val="22"/>
                <w:u w:val="none"/>
              </w:rPr>
            </w:pPr>
            <w:r>
              <w:rPr>
                <w:rFonts w:hint="eastAsia" w:ascii="黑体" w:hAnsi="黑体" w:eastAsia="黑体" w:cs="黑体"/>
                <w:i w:val="0"/>
                <w:iCs w:val="0"/>
                <w:color w:val="000000"/>
                <w:kern w:val="0"/>
                <w:sz w:val="32"/>
                <w:szCs w:val="32"/>
                <w:u w:val="none"/>
                <w:lang w:val="en-US" w:eastAsia="zh-CN" w:bidi="ar"/>
              </w:rPr>
              <w:t>附件3</w:t>
            </w:r>
          </w:p>
        </w:tc>
        <w:tc>
          <w:tcPr>
            <w:tcW w:w="1463" w:type="dxa"/>
            <w:tcBorders>
              <w:top w:val="nil"/>
              <w:left w:val="nil"/>
              <w:bottom w:val="nil"/>
              <w:right w:val="nil"/>
            </w:tcBorders>
            <w:shd w:val="clear" w:color="auto" w:fill="auto"/>
            <w:noWrap/>
            <w:vAlign w:val="center"/>
          </w:tcPr>
          <w:p w14:paraId="6D698666">
            <w:pPr>
              <w:rPr>
                <w:rFonts w:hint="eastAsia" w:ascii="宋体" w:hAnsi="宋体" w:eastAsia="宋体" w:cs="宋体"/>
                <w:i w:val="0"/>
                <w:iCs w:val="0"/>
                <w:color w:val="000000"/>
                <w:sz w:val="22"/>
                <w:szCs w:val="22"/>
                <w:u w:val="none"/>
              </w:rPr>
            </w:pPr>
          </w:p>
        </w:tc>
        <w:tc>
          <w:tcPr>
            <w:tcW w:w="1245" w:type="dxa"/>
            <w:tcBorders>
              <w:top w:val="nil"/>
              <w:left w:val="nil"/>
              <w:bottom w:val="nil"/>
              <w:right w:val="nil"/>
            </w:tcBorders>
            <w:shd w:val="clear" w:color="auto" w:fill="auto"/>
            <w:noWrap/>
            <w:vAlign w:val="center"/>
          </w:tcPr>
          <w:p w14:paraId="22A78434">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noWrap/>
            <w:vAlign w:val="center"/>
          </w:tcPr>
          <w:p w14:paraId="51423BC7">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noWrap/>
            <w:vAlign w:val="center"/>
          </w:tcPr>
          <w:p w14:paraId="48847FF5">
            <w:pPr>
              <w:rPr>
                <w:rFonts w:hint="eastAsia" w:ascii="宋体" w:hAnsi="宋体" w:eastAsia="宋体" w:cs="宋体"/>
                <w:i w:val="0"/>
                <w:iCs w:val="0"/>
                <w:color w:val="000000"/>
                <w:sz w:val="22"/>
                <w:szCs w:val="22"/>
                <w:u w:val="none"/>
              </w:rPr>
            </w:pPr>
          </w:p>
        </w:tc>
        <w:tc>
          <w:tcPr>
            <w:tcW w:w="4493" w:type="dxa"/>
            <w:tcBorders>
              <w:top w:val="nil"/>
              <w:left w:val="nil"/>
              <w:bottom w:val="nil"/>
              <w:right w:val="nil"/>
            </w:tcBorders>
            <w:shd w:val="clear" w:color="auto" w:fill="auto"/>
            <w:noWrap/>
            <w:vAlign w:val="center"/>
          </w:tcPr>
          <w:p w14:paraId="4A964B33">
            <w:pPr>
              <w:rPr>
                <w:rFonts w:hint="eastAsia" w:ascii="宋体" w:hAnsi="宋体" w:eastAsia="宋体" w:cs="宋体"/>
                <w:i w:val="0"/>
                <w:iCs w:val="0"/>
                <w:color w:val="000000"/>
                <w:sz w:val="22"/>
                <w:szCs w:val="22"/>
                <w:u w:val="none"/>
              </w:rPr>
            </w:pPr>
          </w:p>
        </w:tc>
        <w:tc>
          <w:tcPr>
            <w:tcW w:w="2606" w:type="dxa"/>
            <w:tcBorders>
              <w:top w:val="nil"/>
              <w:left w:val="nil"/>
              <w:bottom w:val="nil"/>
              <w:right w:val="nil"/>
            </w:tcBorders>
            <w:shd w:val="clear" w:color="auto" w:fill="auto"/>
            <w:noWrap/>
            <w:vAlign w:val="center"/>
          </w:tcPr>
          <w:p w14:paraId="6707BC9C">
            <w:pPr>
              <w:rPr>
                <w:rFonts w:hint="eastAsia" w:ascii="宋体" w:hAnsi="宋体" w:eastAsia="宋体" w:cs="宋体"/>
                <w:i w:val="0"/>
                <w:iCs w:val="0"/>
                <w:color w:val="000000"/>
                <w:sz w:val="22"/>
                <w:szCs w:val="22"/>
                <w:u w:val="none"/>
              </w:rPr>
            </w:pPr>
          </w:p>
        </w:tc>
        <w:tc>
          <w:tcPr>
            <w:tcW w:w="1575" w:type="dxa"/>
            <w:tcBorders>
              <w:top w:val="nil"/>
              <w:left w:val="nil"/>
              <w:bottom w:val="nil"/>
              <w:right w:val="nil"/>
            </w:tcBorders>
            <w:shd w:val="clear" w:color="auto" w:fill="auto"/>
            <w:noWrap/>
            <w:vAlign w:val="center"/>
          </w:tcPr>
          <w:p w14:paraId="2FC132EF">
            <w:pPr>
              <w:jc w:val="center"/>
              <w:rPr>
                <w:rFonts w:hint="eastAsia" w:ascii="宋体" w:hAnsi="宋体" w:eastAsia="宋体" w:cs="宋体"/>
                <w:i w:val="0"/>
                <w:iCs w:val="0"/>
                <w:color w:val="000000"/>
                <w:sz w:val="22"/>
                <w:szCs w:val="22"/>
                <w:u w:val="none"/>
              </w:rPr>
            </w:pPr>
          </w:p>
        </w:tc>
      </w:tr>
      <w:tr w14:paraId="1CFA7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6" w:hRule="atLeast"/>
          <w:jc w:val="center"/>
        </w:trPr>
        <w:tc>
          <w:tcPr>
            <w:tcW w:w="15061" w:type="dxa"/>
            <w:gridSpan w:val="8"/>
            <w:tcBorders>
              <w:top w:val="nil"/>
              <w:left w:val="nil"/>
              <w:bottom w:val="nil"/>
              <w:right w:val="nil"/>
            </w:tcBorders>
            <w:shd w:val="clear" w:color="auto" w:fill="auto"/>
            <w:noWrap/>
            <w:vAlign w:val="center"/>
          </w:tcPr>
          <w:p w14:paraId="713CEE77">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省直基本医疗保险互联网定点医疗机构评估标准表</w:t>
            </w:r>
          </w:p>
        </w:tc>
      </w:tr>
      <w:tr w14:paraId="1A0FF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5061" w:type="dxa"/>
            <w:gridSpan w:val="8"/>
            <w:tcBorders>
              <w:top w:val="nil"/>
              <w:left w:val="nil"/>
              <w:bottom w:val="nil"/>
              <w:right w:val="nil"/>
            </w:tcBorders>
            <w:shd w:val="clear" w:color="auto" w:fill="auto"/>
            <w:noWrap/>
            <w:vAlign w:val="center"/>
          </w:tcPr>
          <w:p w14:paraId="0FDAD67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医疗机构名称：（加盖公章）                                                                                             评估日期：    年    月    日</w:t>
            </w:r>
            <w:r>
              <w:rPr>
                <w:rFonts w:hint="eastAsia" w:ascii="仿宋" w:hAnsi="仿宋" w:eastAsia="仿宋" w:cs="仿宋"/>
                <w:i w:val="0"/>
                <w:iCs w:val="0"/>
                <w:color w:val="000000"/>
                <w:kern w:val="0"/>
                <w:sz w:val="20"/>
                <w:szCs w:val="20"/>
                <w:u w:val="none"/>
                <w:lang w:val="en-US" w:eastAsia="zh-CN" w:bidi="ar"/>
              </w:rPr>
              <w:t xml:space="preserve">                                                                                                         </w:t>
            </w:r>
          </w:p>
        </w:tc>
      </w:tr>
      <w:tr w14:paraId="486C9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jc w:val="center"/>
        </w:trPr>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C834C">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序号</w:t>
            </w:r>
          </w:p>
        </w:tc>
        <w:tc>
          <w:tcPr>
            <w:tcW w:w="936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8E022">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项目要求</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FE06C">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评估方法</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3D864">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评估记录</w:t>
            </w:r>
          </w:p>
        </w:tc>
      </w:tr>
      <w:tr w14:paraId="322D3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jc w:val="center"/>
        </w:trPr>
        <w:tc>
          <w:tcPr>
            <w:tcW w:w="15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CE4D2">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1</w:t>
            </w:r>
          </w:p>
        </w:tc>
        <w:tc>
          <w:tcPr>
            <w:tcW w:w="1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BFD63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基本条件</w:t>
            </w:r>
          </w:p>
        </w:tc>
        <w:tc>
          <w:tcPr>
            <w:tcW w:w="78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F4C47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spacing w:val="6"/>
                <w:kern w:val="0"/>
                <w:sz w:val="20"/>
                <w:szCs w:val="20"/>
                <w:u w:val="none"/>
                <w:lang w:val="en-US" w:eastAsia="zh-CN" w:bidi="ar"/>
              </w:rPr>
              <w:t>经相关业务主管部门审批同意，符合《互联网医院基本标准》。不符合要求不纳入。</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7A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查看资料，现场核实</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3492F">
            <w:pPr>
              <w:jc w:val="center"/>
              <w:rPr>
                <w:rFonts w:hint="eastAsia" w:ascii="仿宋" w:hAnsi="仿宋" w:eastAsia="仿宋" w:cs="仿宋"/>
                <w:i w:val="0"/>
                <w:iCs w:val="0"/>
                <w:color w:val="000000"/>
                <w:sz w:val="20"/>
                <w:szCs w:val="20"/>
                <w:u w:val="none"/>
              </w:rPr>
            </w:pPr>
          </w:p>
        </w:tc>
      </w:tr>
      <w:tr w14:paraId="21ECD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9263F">
            <w:pPr>
              <w:jc w:val="center"/>
              <w:rPr>
                <w:rFonts w:hint="default" w:ascii="Times New Roman" w:hAnsi="Times New Roman" w:eastAsia="仿宋" w:cs="Times New Roman"/>
                <w:b/>
                <w:bCs/>
                <w:i w:val="0"/>
                <w:iCs w:val="0"/>
                <w:color w:val="000000"/>
                <w:sz w:val="22"/>
                <w:szCs w:val="22"/>
                <w:u w:val="none"/>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2D967">
            <w:pPr>
              <w:jc w:val="center"/>
              <w:rPr>
                <w:rFonts w:hint="eastAsia" w:asciiTheme="minorEastAsia" w:hAnsiTheme="minorEastAsia" w:eastAsiaTheme="minorEastAsia" w:cstheme="minorEastAsia"/>
                <w:b/>
                <w:bCs/>
                <w:i w:val="0"/>
                <w:iCs w:val="0"/>
                <w:color w:val="000000"/>
                <w:sz w:val="20"/>
                <w:szCs w:val="20"/>
                <w:u w:val="none"/>
              </w:rPr>
            </w:pPr>
          </w:p>
        </w:tc>
        <w:tc>
          <w:tcPr>
            <w:tcW w:w="78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662F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无对外出租、承包科室。不符合要求的不纳入。</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F3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查看资料，现场核实</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07019">
            <w:pPr>
              <w:jc w:val="center"/>
              <w:rPr>
                <w:rFonts w:hint="eastAsia" w:ascii="仿宋" w:hAnsi="仿宋" w:eastAsia="仿宋" w:cs="仿宋"/>
                <w:i w:val="0"/>
                <w:iCs w:val="0"/>
                <w:color w:val="000000"/>
                <w:sz w:val="20"/>
                <w:szCs w:val="20"/>
                <w:u w:val="none"/>
              </w:rPr>
            </w:pPr>
          </w:p>
        </w:tc>
      </w:tr>
      <w:tr w14:paraId="2FAFE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jc w:val="center"/>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ADFFC">
            <w:pPr>
              <w:jc w:val="center"/>
              <w:rPr>
                <w:rFonts w:hint="default" w:ascii="Times New Roman" w:hAnsi="Times New Roman" w:eastAsia="仿宋" w:cs="Times New Roman"/>
                <w:b/>
                <w:bCs/>
                <w:i w:val="0"/>
                <w:iCs w:val="0"/>
                <w:color w:val="000000"/>
                <w:sz w:val="22"/>
                <w:szCs w:val="22"/>
                <w:u w:val="none"/>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29CFC">
            <w:pPr>
              <w:jc w:val="center"/>
              <w:rPr>
                <w:rFonts w:hint="eastAsia" w:asciiTheme="minorEastAsia" w:hAnsiTheme="minorEastAsia" w:eastAsiaTheme="minorEastAsia" w:cstheme="minorEastAsia"/>
                <w:b/>
                <w:bCs/>
                <w:i w:val="0"/>
                <w:iCs w:val="0"/>
                <w:color w:val="000000"/>
                <w:sz w:val="20"/>
                <w:szCs w:val="20"/>
                <w:u w:val="none"/>
              </w:rPr>
            </w:pPr>
          </w:p>
        </w:tc>
        <w:tc>
          <w:tcPr>
            <w:tcW w:w="78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4BC0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营业时间满3个月以上，经属地医保部门政策培训6个月，且培训期间无违反协议及医保政策规定，无违规违纪。不符合要求的不纳入。</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67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查看资料，现场核实</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EE167">
            <w:pPr>
              <w:jc w:val="center"/>
              <w:rPr>
                <w:rFonts w:hint="eastAsia" w:ascii="仿宋" w:hAnsi="仿宋" w:eastAsia="仿宋" w:cs="仿宋"/>
                <w:i w:val="0"/>
                <w:iCs w:val="0"/>
                <w:color w:val="000000"/>
                <w:sz w:val="20"/>
                <w:szCs w:val="20"/>
                <w:u w:val="none"/>
              </w:rPr>
            </w:pPr>
          </w:p>
        </w:tc>
      </w:tr>
      <w:tr w14:paraId="0E5E7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0D233">
            <w:pPr>
              <w:jc w:val="center"/>
              <w:rPr>
                <w:rFonts w:hint="default" w:ascii="Times New Roman" w:hAnsi="Times New Roman" w:eastAsia="仿宋" w:cs="Times New Roman"/>
                <w:b/>
                <w:bCs/>
                <w:i w:val="0"/>
                <w:iCs w:val="0"/>
                <w:color w:val="000000"/>
                <w:sz w:val="22"/>
                <w:szCs w:val="22"/>
                <w:u w:val="none"/>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0358D">
            <w:pPr>
              <w:jc w:val="center"/>
              <w:rPr>
                <w:rFonts w:hint="eastAsia" w:asciiTheme="minorEastAsia" w:hAnsiTheme="minorEastAsia" w:eastAsiaTheme="minorEastAsia" w:cstheme="minorEastAsia"/>
                <w:b/>
                <w:bCs/>
                <w:i w:val="0"/>
                <w:iCs w:val="0"/>
                <w:color w:val="000000"/>
                <w:sz w:val="20"/>
                <w:szCs w:val="20"/>
                <w:u w:val="none"/>
              </w:rPr>
            </w:pPr>
          </w:p>
        </w:tc>
        <w:tc>
          <w:tcPr>
            <w:tcW w:w="78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46C3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互联网医院所依托的实体定点医疗机构为省直医保协议管理定点医疗机构。不符合要求不纳入。</w:t>
            </w:r>
          </w:p>
        </w:tc>
        <w:tc>
          <w:tcPr>
            <w:tcW w:w="2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266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查看资料，现场核实</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28839">
            <w:pPr>
              <w:jc w:val="center"/>
              <w:rPr>
                <w:rFonts w:hint="eastAsia" w:ascii="仿宋" w:hAnsi="仿宋" w:eastAsia="仿宋" w:cs="仿宋"/>
                <w:i w:val="0"/>
                <w:iCs w:val="0"/>
                <w:color w:val="000000"/>
                <w:sz w:val="20"/>
                <w:szCs w:val="20"/>
                <w:u w:val="none"/>
              </w:rPr>
            </w:pPr>
          </w:p>
        </w:tc>
      </w:tr>
      <w:tr w14:paraId="098BE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jc w:val="center"/>
        </w:trPr>
        <w:tc>
          <w:tcPr>
            <w:tcW w:w="15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90CAE">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2</w:t>
            </w:r>
          </w:p>
        </w:tc>
        <w:tc>
          <w:tcPr>
            <w:tcW w:w="1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F2D14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信息系统</w:t>
            </w:r>
          </w:p>
        </w:tc>
        <w:tc>
          <w:tcPr>
            <w:tcW w:w="78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05A6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具备完善的医院信息系统技术和接口标准，实现与医保信息系统有效对接，通过电子医保凭证，为参保人员提供直接联网结算。不符合要求的不纳入。</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49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查看资料和系统，现场核实</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2CE86">
            <w:pPr>
              <w:jc w:val="center"/>
              <w:rPr>
                <w:rFonts w:hint="eastAsia" w:ascii="仿宋" w:hAnsi="仿宋" w:eastAsia="仿宋" w:cs="仿宋"/>
                <w:i w:val="0"/>
                <w:iCs w:val="0"/>
                <w:color w:val="000000"/>
                <w:sz w:val="20"/>
                <w:szCs w:val="20"/>
                <w:u w:val="none"/>
              </w:rPr>
            </w:pPr>
          </w:p>
        </w:tc>
      </w:tr>
      <w:tr w14:paraId="0C37C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jc w:val="center"/>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43856">
            <w:pPr>
              <w:jc w:val="center"/>
              <w:rPr>
                <w:rFonts w:hint="default" w:ascii="Times New Roman" w:hAnsi="Times New Roman" w:eastAsia="仿宋" w:cs="Times New Roman"/>
                <w:b/>
                <w:bCs/>
                <w:i w:val="0"/>
                <w:iCs w:val="0"/>
                <w:color w:val="000000"/>
                <w:sz w:val="22"/>
                <w:szCs w:val="22"/>
                <w:u w:val="none"/>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456B2">
            <w:pPr>
              <w:jc w:val="center"/>
              <w:rPr>
                <w:rFonts w:hint="eastAsia" w:asciiTheme="minorEastAsia" w:hAnsiTheme="minorEastAsia" w:eastAsiaTheme="minorEastAsia" w:cstheme="minorEastAsia"/>
                <w:b/>
                <w:bCs/>
                <w:i w:val="0"/>
                <w:iCs w:val="0"/>
                <w:color w:val="000000"/>
                <w:sz w:val="20"/>
                <w:szCs w:val="20"/>
                <w:u w:val="none"/>
              </w:rPr>
            </w:pPr>
          </w:p>
        </w:tc>
        <w:tc>
          <w:tcPr>
            <w:tcW w:w="78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38CD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建立医保药品、诊疗项目、疾病病种等基础数据库，按规定使用国家统一医保编码，能够按医保要求报送“互联网+”医疗服务产生的诊疗信息。不符合要求的不纳入。</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11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查看资料和系统，现场核实</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72D24">
            <w:pPr>
              <w:jc w:val="center"/>
              <w:rPr>
                <w:rFonts w:hint="eastAsia" w:ascii="仿宋" w:hAnsi="仿宋" w:eastAsia="仿宋" w:cs="仿宋"/>
                <w:i w:val="0"/>
                <w:iCs w:val="0"/>
                <w:color w:val="000000"/>
                <w:sz w:val="20"/>
                <w:szCs w:val="20"/>
                <w:u w:val="none"/>
              </w:rPr>
            </w:pPr>
          </w:p>
        </w:tc>
      </w:tr>
      <w:tr w14:paraId="7B59E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D3853">
            <w:pPr>
              <w:jc w:val="center"/>
              <w:rPr>
                <w:rFonts w:hint="default" w:ascii="Times New Roman" w:hAnsi="Times New Roman" w:eastAsia="仿宋" w:cs="Times New Roman"/>
                <w:b/>
                <w:bCs/>
                <w:i w:val="0"/>
                <w:iCs w:val="0"/>
                <w:color w:val="000000"/>
                <w:sz w:val="22"/>
                <w:szCs w:val="22"/>
                <w:u w:val="none"/>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7297C">
            <w:pPr>
              <w:jc w:val="center"/>
              <w:rPr>
                <w:rFonts w:hint="eastAsia" w:asciiTheme="minorEastAsia" w:hAnsiTheme="minorEastAsia" w:eastAsiaTheme="minorEastAsia" w:cstheme="minorEastAsia"/>
                <w:b/>
                <w:bCs/>
                <w:i w:val="0"/>
                <w:iCs w:val="0"/>
                <w:color w:val="000000"/>
                <w:sz w:val="20"/>
                <w:szCs w:val="20"/>
                <w:u w:val="none"/>
              </w:rPr>
            </w:pPr>
          </w:p>
        </w:tc>
        <w:tc>
          <w:tcPr>
            <w:tcW w:w="78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C4BC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建立和妥善保存电子病历、在线电子处方、购药记录，做到全程留痕，实现全过程可追溯。不符合要求的不纳入。</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4A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查看资料和系统，现场核实</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C13B0">
            <w:pPr>
              <w:jc w:val="center"/>
              <w:rPr>
                <w:rFonts w:hint="eastAsia" w:ascii="仿宋" w:hAnsi="仿宋" w:eastAsia="仿宋" w:cs="仿宋"/>
                <w:i w:val="0"/>
                <w:iCs w:val="0"/>
                <w:color w:val="000000"/>
                <w:sz w:val="20"/>
                <w:szCs w:val="20"/>
                <w:u w:val="none"/>
              </w:rPr>
            </w:pPr>
          </w:p>
        </w:tc>
      </w:tr>
      <w:tr w14:paraId="55ACD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jc w:val="center"/>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4B1F">
            <w:pPr>
              <w:jc w:val="center"/>
              <w:rPr>
                <w:rFonts w:hint="default" w:ascii="Times New Roman" w:hAnsi="Times New Roman" w:eastAsia="仿宋" w:cs="Times New Roman"/>
                <w:b/>
                <w:bCs/>
                <w:i w:val="0"/>
                <w:iCs w:val="0"/>
                <w:color w:val="000000"/>
                <w:sz w:val="22"/>
                <w:szCs w:val="22"/>
                <w:u w:val="none"/>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AA356">
            <w:pPr>
              <w:jc w:val="center"/>
              <w:rPr>
                <w:rFonts w:hint="eastAsia" w:asciiTheme="minorEastAsia" w:hAnsiTheme="minorEastAsia" w:eastAsiaTheme="minorEastAsia" w:cstheme="minorEastAsia"/>
                <w:b/>
                <w:bCs/>
                <w:i w:val="0"/>
                <w:iCs w:val="0"/>
                <w:color w:val="000000"/>
                <w:sz w:val="20"/>
                <w:szCs w:val="20"/>
                <w:u w:val="none"/>
              </w:rPr>
            </w:pPr>
          </w:p>
        </w:tc>
        <w:tc>
          <w:tcPr>
            <w:tcW w:w="78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5E19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spacing w:val="6"/>
                <w:kern w:val="0"/>
                <w:sz w:val="20"/>
                <w:szCs w:val="20"/>
                <w:u w:val="none"/>
                <w:lang w:val="en-US" w:eastAsia="zh-CN" w:bidi="ar"/>
              </w:rPr>
              <w:t>能够区分常规线下医疗服务业务和“互联网+”医疗服务业务。不符合要求的不纳入。</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13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查看资料和系统，现场核实</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8D311">
            <w:pPr>
              <w:jc w:val="center"/>
              <w:rPr>
                <w:rFonts w:hint="eastAsia" w:ascii="仿宋" w:hAnsi="仿宋" w:eastAsia="仿宋" w:cs="仿宋"/>
                <w:i w:val="0"/>
                <w:iCs w:val="0"/>
                <w:color w:val="000000"/>
                <w:sz w:val="20"/>
                <w:szCs w:val="20"/>
                <w:u w:val="none"/>
              </w:rPr>
            </w:pPr>
          </w:p>
        </w:tc>
      </w:tr>
      <w:tr w14:paraId="6DBA8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E6C5E">
            <w:pPr>
              <w:jc w:val="center"/>
              <w:rPr>
                <w:rFonts w:hint="default" w:ascii="Times New Roman" w:hAnsi="Times New Roman" w:eastAsia="仿宋" w:cs="Times New Roman"/>
                <w:b/>
                <w:bCs/>
                <w:i w:val="0"/>
                <w:iCs w:val="0"/>
                <w:color w:val="000000"/>
                <w:sz w:val="22"/>
                <w:szCs w:val="22"/>
                <w:u w:val="none"/>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BF2F5">
            <w:pPr>
              <w:jc w:val="center"/>
              <w:rPr>
                <w:rFonts w:hint="eastAsia" w:asciiTheme="minorEastAsia" w:hAnsiTheme="minorEastAsia" w:eastAsiaTheme="minorEastAsia" w:cstheme="minorEastAsia"/>
                <w:b/>
                <w:bCs/>
                <w:i w:val="0"/>
                <w:iCs w:val="0"/>
                <w:color w:val="000000"/>
                <w:sz w:val="20"/>
                <w:szCs w:val="20"/>
                <w:u w:val="none"/>
              </w:rPr>
            </w:pPr>
          </w:p>
        </w:tc>
        <w:tc>
          <w:tcPr>
            <w:tcW w:w="78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75611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优先支持承诺互联网诊疗与医保电子处方中心进行对接。不履行承诺的不纳入。</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83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查看资料和系统，现场核实</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6497D">
            <w:pPr>
              <w:jc w:val="center"/>
              <w:rPr>
                <w:rFonts w:hint="eastAsia" w:ascii="仿宋" w:hAnsi="仿宋" w:eastAsia="仿宋" w:cs="仿宋"/>
                <w:i w:val="0"/>
                <w:iCs w:val="0"/>
                <w:color w:val="000000"/>
                <w:sz w:val="20"/>
                <w:szCs w:val="20"/>
                <w:u w:val="none"/>
              </w:rPr>
            </w:pPr>
          </w:p>
        </w:tc>
      </w:tr>
      <w:tr w14:paraId="3FDAA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jc w:val="center"/>
        </w:trPr>
        <w:tc>
          <w:tcPr>
            <w:tcW w:w="15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33AF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仿宋" w:cs="Times New Roman"/>
                <w:b/>
                <w:bCs/>
                <w:i w:val="0"/>
                <w:iCs w:val="0"/>
                <w:color w:val="000000"/>
                <w:kern w:val="0"/>
                <w:sz w:val="22"/>
                <w:szCs w:val="22"/>
                <w:u w:val="none"/>
                <w:lang w:val="en-US" w:eastAsia="zh-CN" w:bidi="ar"/>
              </w:rPr>
            </w:pPr>
          </w:p>
          <w:p w14:paraId="7CCE3047">
            <w:pPr>
              <w:keepNext w:val="0"/>
              <w:keepLines w:val="0"/>
              <w:widowControl/>
              <w:suppressLineNumbers w:val="0"/>
              <w:jc w:val="center"/>
              <w:textAlignment w:val="center"/>
              <w:rPr>
                <w:rFonts w:hint="default" w:ascii="等线" w:hAnsi="等线" w:eastAsia="等线" w:cs="Times New Roman"/>
                <w:kern w:val="2"/>
                <w:sz w:val="21"/>
                <w:szCs w:val="22"/>
                <w:lang w:val="en-US" w:eastAsia="zh-CN" w:bidi="ar-SA"/>
              </w:rPr>
            </w:pPr>
            <w:r>
              <w:rPr>
                <w:rFonts w:hint="default" w:ascii="Times New Roman" w:hAnsi="Times New Roman" w:eastAsia="仿宋" w:cs="Times New Roman"/>
                <w:b/>
                <w:bCs/>
                <w:i w:val="0"/>
                <w:iCs w:val="0"/>
                <w:color w:val="000000"/>
                <w:kern w:val="0"/>
                <w:sz w:val="22"/>
                <w:szCs w:val="22"/>
                <w:u w:val="none"/>
                <w:lang w:val="en-US" w:eastAsia="zh-CN" w:bidi="ar"/>
              </w:rPr>
              <w:t>3</w:t>
            </w:r>
          </w:p>
        </w:tc>
        <w:tc>
          <w:tcPr>
            <w:tcW w:w="1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22E8E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inorEastAsia" w:hAnsiTheme="minorEastAsia" w:eastAsiaTheme="minorEastAsia" w:cstheme="minorEastAsia"/>
                <w:b/>
                <w:bCs/>
                <w:i w:val="0"/>
                <w:iCs w:val="0"/>
                <w:color w:val="000000"/>
                <w:kern w:val="0"/>
                <w:sz w:val="20"/>
                <w:szCs w:val="20"/>
                <w:u w:val="none"/>
                <w:lang w:val="en-US" w:eastAsia="zh-CN" w:bidi="ar"/>
              </w:rPr>
            </w:pPr>
          </w:p>
          <w:p w14:paraId="222272D1">
            <w:pPr>
              <w:keepNext w:val="0"/>
              <w:keepLines w:val="0"/>
              <w:widowControl/>
              <w:suppressLineNumbers w:val="0"/>
              <w:jc w:val="center"/>
              <w:textAlignment w:val="center"/>
              <w:rPr>
                <w:rFonts w:hint="eastAsia"/>
              </w:rPr>
            </w:pPr>
            <w:r>
              <w:rPr>
                <w:rFonts w:hint="eastAsia" w:asciiTheme="minorEastAsia" w:hAnsiTheme="minorEastAsia" w:eastAsiaTheme="minorEastAsia" w:cstheme="minorEastAsia"/>
                <w:b/>
                <w:bCs/>
                <w:i w:val="0"/>
                <w:iCs w:val="0"/>
                <w:color w:val="000000"/>
                <w:kern w:val="0"/>
                <w:sz w:val="20"/>
                <w:szCs w:val="20"/>
                <w:u w:val="none"/>
                <w:lang w:val="en-US" w:eastAsia="zh-CN" w:bidi="ar"/>
              </w:rPr>
              <w:t>人员条件</w:t>
            </w:r>
          </w:p>
        </w:tc>
        <w:tc>
          <w:tcPr>
            <w:tcW w:w="78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C369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线上医师和药师符合《互联网医院管理办法》有关规定，认真执行互联网医疗保险政策规定，遵守医德医风，与患者保持良好沟通。不符合要求的不纳入。</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68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查看资料，现场核实</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35B4A">
            <w:pPr>
              <w:jc w:val="center"/>
              <w:rPr>
                <w:rFonts w:hint="eastAsia" w:ascii="仿宋" w:hAnsi="仿宋" w:eastAsia="仿宋" w:cs="仿宋"/>
                <w:i w:val="0"/>
                <w:iCs w:val="0"/>
                <w:color w:val="000000"/>
                <w:sz w:val="20"/>
                <w:szCs w:val="20"/>
                <w:u w:val="none"/>
              </w:rPr>
            </w:pPr>
          </w:p>
        </w:tc>
      </w:tr>
      <w:tr w14:paraId="7B129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45C56">
            <w:pPr>
              <w:jc w:val="center"/>
              <w:rPr>
                <w:rFonts w:hint="default" w:ascii="Times New Roman" w:hAnsi="Times New Roman" w:eastAsia="仿宋" w:cs="Times New Roman"/>
                <w:b/>
                <w:bCs/>
                <w:i w:val="0"/>
                <w:iCs w:val="0"/>
                <w:color w:val="000000"/>
                <w:sz w:val="22"/>
                <w:szCs w:val="22"/>
                <w:u w:val="none"/>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97B38">
            <w:pPr>
              <w:jc w:val="center"/>
              <w:rPr>
                <w:rFonts w:hint="eastAsia" w:asciiTheme="minorEastAsia" w:hAnsiTheme="minorEastAsia" w:eastAsiaTheme="minorEastAsia" w:cstheme="minorEastAsia"/>
                <w:b/>
                <w:bCs/>
                <w:i w:val="0"/>
                <w:iCs w:val="0"/>
                <w:color w:val="000000"/>
                <w:sz w:val="20"/>
                <w:szCs w:val="20"/>
                <w:u w:val="none"/>
              </w:rPr>
            </w:pPr>
          </w:p>
        </w:tc>
        <w:tc>
          <w:tcPr>
            <w:tcW w:w="78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7E37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互联网医院管理服务人员需经过医疗卫生法律规定、医保政策规定、岗位职责、流程规范的培训，使其具备与本职工作相关的专业知识，满足线上服务要求。不符合要求的不纳入。</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A9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查看资料，现场核实</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331AE">
            <w:pPr>
              <w:jc w:val="center"/>
              <w:rPr>
                <w:rFonts w:hint="eastAsia" w:ascii="仿宋" w:hAnsi="仿宋" w:eastAsia="仿宋" w:cs="仿宋"/>
                <w:i w:val="0"/>
                <w:iCs w:val="0"/>
                <w:color w:val="000000"/>
                <w:sz w:val="20"/>
                <w:szCs w:val="20"/>
                <w:u w:val="none"/>
              </w:rPr>
            </w:pPr>
          </w:p>
        </w:tc>
      </w:tr>
      <w:tr w14:paraId="2079E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jc w:val="center"/>
        </w:trPr>
        <w:tc>
          <w:tcPr>
            <w:tcW w:w="1519" w:type="dxa"/>
            <w:vMerge w:val="restart"/>
            <w:tcBorders>
              <w:top w:val="single" w:color="000000" w:sz="4" w:space="0"/>
              <w:left w:val="single" w:color="000000" w:sz="4" w:space="0"/>
              <w:bottom w:val="nil"/>
              <w:right w:val="single" w:color="000000" w:sz="4" w:space="0"/>
            </w:tcBorders>
            <w:shd w:val="clear" w:color="auto" w:fill="auto"/>
            <w:noWrap/>
            <w:vAlign w:val="center"/>
          </w:tcPr>
          <w:p w14:paraId="4D3DDAE5">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4</w:t>
            </w:r>
          </w:p>
        </w:tc>
        <w:tc>
          <w:tcPr>
            <w:tcW w:w="1463" w:type="dxa"/>
            <w:vMerge w:val="restart"/>
            <w:tcBorders>
              <w:top w:val="single" w:color="000000" w:sz="4" w:space="0"/>
              <w:left w:val="single" w:color="000000" w:sz="4" w:space="0"/>
              <w:bottom w:val="nil"/>
              <w:right w:val="single" w:color="000000" w:sz="4" w:space="0"/>
            </w:tcBorders>
            <w:shd w:val="clear" w:color="auto" w:fill="auto"/>
            <w:vAlign w:val="center"/>
          </w:tcPr>
          <w:p w14:paraId="0939D68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执业范围和</w:t>
            </w:r>
            <w:r>
              <w:rPr>
                <w:rFonts w:hint="eastAsia" w:asciiTheme="minorEastAsia" w:hAnsiTheme="minorEastAsia" w:eastAsiaTheme="minorEastAsia" w:cstheme="minorEastAsia"/>
                <w:b/>
                <w:bCs/>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b/>
                <w:bCs/>
                <w:i w:val="0"/>
                <w:iCs w:val="0"/>
                <w:color w:val="000000"/>
                <w:kern w:val="0"/>
                <w:sz w:val="20"/>
                <w:szCs w:val="20"/>
                <w:u w:val="none"/>
                <w:lang w:val="en-US" w:eastAsia="zh-CN" w:bidi="ar"/>
              </w:rPr>
              <w:t>服务对象</w:t>
            </w:r>
          </w:p>
        </w:tc>
        <w:tc>
          <w:tcPr>
            <w:tcW w:w="78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A00A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主营业务在医疗机构执业许可证范围内，同时在基本医疗保险基金支付范围内。不符合要求的不纳入。</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0E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查看资料，现场核实</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63D5A">
            <w:pPr>
              <w:jc w:val="center"/>
              <w:rPr>
                <w:rFonts w:hint="eastAsia" w:ascii="仿宋" w:hAnsi="仿宋" w:eastAsia="仿宋" w:cs="仿宋"/>
                <w:i w:val="0"/>
                <w:iCs w:val="0"/>
                <w:color w:val="000000"/>
                <w:sz w:val="20"/>
                <w:szCs w:val="20"/>
                <w:u w:val="none"/>
              </w:rPr>
            </w:pPr>
          </w:p>
        </w:tc>
      </w:tr>
      <w:tr w14:paraId="36ED3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1519"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EBB9D51">
            <w:pPr>
              <w:jc w:val="center"/>
              <w:rPr>
                <w:rFonts w:hint="default" w:ascii="Times New Roman" w:hAnsi="Times New Roman" w:eastAsia="仿宋" w:cs="Times New Roman"/>
                <w:b/>
                <w:bCs/>
                <w:i w:val="0"/>
                <w:iCs w:val="0"/>
                <w:color w:val="000000"/>
                <w:sz w:val="22"/>
                <w:szCs w:val="22"/>
                <w:u w:val="none"/>
              </w:rPr>
            </w:pPr>
          </w:p>
        </w:tc>
        <w:tc>
          <w:tcPr>
            <w:tcW w:w="1463" w:type="dxa"/>
            <w:vMerge w:val="continue"/>
            <w:tcBorders>
              <w:top w:val="single" w:color="000000" w:sz="4" w:space="0"/>
              <w:left w:val="single" w:color="000000" w:sz="4" w:space="0"/>
              <w:bottom w:val="nil"/>
              <w:right w:val="single" w:color="000000" w:sz="4" w:space="0"/>
            </w:tcBorders>
            <w:shd w:val="clear" w:color="auto" w:fill="auto"/>
            <w:vAlign w:val="center"/>
          </w:tcPr>
          <w:p w14:paraId="620D04D3">
            <w:pPr>
              <w:jc w:val="center"/>
              <w:rPr>
                <w:rFonts w:hint="eastAsia" w:asciiTheme="minorEastAsia" w:hAnsiTheme="minorEastAsia" w:eastAsiaTheme="minorEastAsia" w:cstheme="minorEastAsia"/>
                <w:b/>
                <w:bCs/>
                <w:i w:val="0"/>
                <w:iCs w:val="0"/>
                <w:color w:val="000000"/>
                <w:sz w:val="20"/>
                <w:szCs w:val="20"/>
                <w:u w:val="none"/>
              </w:rPr>
            </w:pPr>
          </w:p>
        </w:tc>
        <w:tc>
          <w:tcPr>
            <w:tcW w:w="78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6543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能够实现初诊和复诊的患者识别。不符合要求的不纳入。</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86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查看资料，现场核实</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A6B9E">
            <w:pPr>
              <w:jc w:val="center"/>
              <w:rPr>
                <w:rFonts w:hint="eastAsia" w:ascii="仿宋" w:hAnsi="仿宋" w:eastAsia="仿宋" w:cs="仿宋"/>
                <w:i w:val="0"/>
                <w:iCs w:val="0"/>
                <w:color w:val="000000"/>
                <w:sz w:val="20"/>
                <w:szCs w:val="20"/>
                <w:u w:val="none"/>
              </w:rPr>
            </w:pPr>
          </w:p>
        </w:tc>
      </w:tr>
      <w:tr w14:paraId="5A145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5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FD614">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5</w:t>
            </w:r>
          </w:p>
        </w:tc>
        <w:tc>
          <w:tcPr>
            <w:tcW w:w="1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095C5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内部管理</w:t>
            </w:r>
          </w:p>
        </w:tc>
        <w:tc>
          <w:tcPr>
            <w:tcW w:w="78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E64B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规章制度健全，具有符合医保要求的医保管理制度、财务制度、统计信息制度、医疗质量安全核心制度等。不符合要求的不纳入。  </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69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查看资料，现场核实</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32C35">
            <w:pPr>
              <w:jc w:val="center"/>
              <w:rPr>
                <w:rFonts w:hint="eastAsia" w:ascii="仿宋" w:hAnsi="仿宋" w:eastAsia="仿宋" w:cs="仿宋"/>
                <w:i w:val="0"/>
                <w:iCs w:val="0"/>
                <w:color w:val="000000"/>
                <w:sz w:val="20"/>
                <w:szCs w:val="20"/>
                <w:u w:val="none"/>
              </w:rPr>
            </w:pPr>
          </w:p>
        </w:tc>
      </w:tr>
      <w:tr w14:paraId="4793B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A6D06">
            <w:pPr>
              <w:jc w:val="center"/>
              <w:rPr>
                <w:rFonts w:hint="eastAsia" w:ascii="仿宋" w:hAnsi="仿宋" w:eastAsia="仿宋" w:cs="仿宋"/>
                <w:i w:val="0"/>
                <w:iCs w:val="0"/>
                <w:color w:val="000000"/>
                <w:sz w:val="20"/>
                <w:szCs w:val="20"/>
                <w:u w:val="none"/>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57EA0">
            <w:pPr>
              <w:jc w:val="center"/>
              <w:rPr>
                <w:rFonts w:hint="eastAsia" w:asciiTheme="minorEastAsia" w:hAnsiTheme="minorEastAsia" w:eastAsiaTheme="minorEastAsia" w:cstheme="minorEastAsia"/>
                <w:b/>
                <w:bCs/>
                <w:i w:val="0"/>
                <w:iCs w:val="0"/>
                <w:color w:val="000000"/>
                <w:sz w:val="20"/>
                <w:szCs w:val="20"/>
                <w:u w:val="none"/>
              </w:rPr>
            </w:pPr>
          </w:p>
        </w:tc>
        <w:tc>
          <w:tcPr>
            <w:tcW w:w="78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A49E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病历书写准确、规范；诊疗记录、医嘱等与病情及费用明细吻合。不符合要求的不纳入。</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51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查看资料，现场核实</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1567E">
            <w:pPr>
              <w:jc w:val="center"/>
              <w:rPr>
                <w:rFonts w:hint="eastAsia" w:ascii="仿宋" w:hAnsi="仿宋" w:eastAsia="仿宋" w:cs="仿宋"/>
                <w:i w:val="0"/>
                <w:iCs w:val="0"/>
                <w:color w:val="000000"/>
                <w:sz w:val="20"/>
                <w:szCs w:val="20"/>
                <w:u w:val="none"/>
              </w:rPr>
            </w:pPr>
          </w:p>
        </w:tc>
      </w:tr>
      <w:tr w14:paraId="7A3B8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434B8">
            <w:pPr>
              <w:jc w:val="center"/>
              <w:rPr>
                <w:rFonts w:hint="eastAsia" w:ascii="仿宋" w:hAnsi="仿宋" w:eastAsia="仿宋" w:cs="仿宋"/>
                <w:i w:val="0"/>
                <w:iCs w:val="0"/>
                <w:color w:val="000000"/>
                <w:sz w:val="20"/>
                <w:szCs w:val="20"/>
                <w:u w:val="none"/>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C4612">
            <w:pPr>
              <w:jc w:val="center"/>
              <w:rPr>
                <w:rFonts w:hint="eastAsia" w:asciiTheme="minorEastAsia" w:hAnsiTheme="minorEastAsia" w:eastAsiaTheme="minorEastAsia" w:cstheme="minorEastAsia"/>
                <w:b/>
                <w:bCs/>
                <w:i w:val="0"/>
                <w:iCs w:val="0"/>
                <w:color w:val="000000"/>
                <w:sz w:val="20"/>
                <w:szCs w:val="20"/>
                <w:u w:val="none"/>
              </w:rPr>
            </w:pPr>
          </w:p>
        </w:tc>
        <w:tc>
          <w:tcPr>
            <w:tcW w:w="78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04D81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严格执行处方管理规定，加强处方规范化管理。不符合要求的不纳入。</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00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查看资料，现场核实</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02B04">
            <w:pPr>
              <w:jc w:val="center"/>
              <w:rPr>
                <w:rFonts w:hint="eastAsia" w:ascii="仿宋" w:hAnsi="仿宋" w:eastAsia="仿宋" w:cs="仿宋"/>
                <w:i w:val="0"/>
                <w:iCs w:val="0"/>
                <w:color w:val="000000"/>
                <w:sz w:val="20"/>
                <w:szCs w:val="20"/>
                <w:u w:val="none"/>
              </w:rPr>
            </w:pPr>
          </w:p>
        </w:tc>
      </w:tr>
      <w:tr w14:paraId="2DDCD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jc w:val="center"/>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66900">
            <w:pPr>
              <w:jc w:val="center"/>
              <w:rPr>
                <w:rFonts w:hint="eastAsia" w:ascii="仿宋" w:hAnsi="仿宋" w:eastAsia="仿宋" w:cs="仿宋"/>
                <w:i w:val="0"/>
                <w:iCs w:val="0"/>
                <w:color w:val="000000"/>
                <w:sz w:val="20"/>
                <w:szCs w:val="20"/>
                <w:u w:val="none"/>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A7425">
            <w:pPr>
              <w:jc w:val="center"/>
              <w:rPr>
                <w:rFonts w:hint="eastAsia" w:asciiTheme="minorEastAsia" w:hAnsiTheme="minorEastAsia" w:eastAsiaTheme="minorEastAsia" w:cstheme="minorEastAsia"/>
                <w:b/>
                <w:bCs/>
                <w:i w:val="0"/>
                <w:iCs w:val="0"/>
                <w:color w:val="000000"/>
                <w:sz w:val="20"/>
                <w:szCs w:val="20"/>
                <w:u w:val="none"/>
              </w:rPr>
            </w:pPr>
          </w:p>
        </w:tc>
        <w:tc>
          <w:tcPr>
            <w:tcW w:w="78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366A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药品、医用材料供应商的相关资质、合格证明文件等材料齐全，确保购入渠道正规，保证质量。不符合要求的不纳入。</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BE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查看资料，现场核实</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6391E">
            <w:pPr>
              <w:jc w:val="center"/>
              <w:rPr>
                <w:rFonts w:hint="eastAsia" w:ascii="仿宋" w:hAnsi="仿宋" w:eastAsia="仿宋" w:cs="仿宋"/>
                <w:i w:val="0"/>
                <w:iCs w:val="0"/>
                <w:color w:val="000000"/>
                <w:sz w:val="20"/>
                <w:szCs w:val="20"/>
                <w:u w:val="none"/>
              </w:rPr>
            </w:pPr>
          </w:p>
        </w:tc>
      </w:tr>
      <w:tr w14:paraId="11078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jc w:val="center"/>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C56D0">
            <w:pPr>
              <w:jc w:val="center"/>
              <w:rPr>
                <w:rFonts w:hint="eastAsia" w:ascii="仿宋" w:hAnsi="仿宋" w:eastAsia="仿宋" w:cs="仿宋"/>
                <w:i w:val="0"/>
                <w:iCs w:val="0"/>
                <w:color w:val="000000"/>
                <w:sz w:val="20"/>
                <w:szCs w:val="20"/>
                <w:u w:val="none"/>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34902">
            <w:pPr>
              <w:jc w:val="center"/>
              <w:rPr>
                <w:rFonts w:hint="eastAsia" w:asciiTheme="minorEastAsia" w:hAnsiTheme="minorEastAsia" w:eastAsiaTheme="minorEastAsia" w:cstheme="minorEastAsia"/>
                <w:b/>
                <w:bCs/>
                <w:i w:val="0"/>
                <w:iCs w:val="0"/>
                <w:color w:val="000000"/>
                <w:sz w:val="20"/>
                <w:szCs w:val="20"/>
                <w:u w:val="none"/>
              </w:rPr>
            </w:pPr>
          </w:p>
        </w:tc>
        <w:tc>
          <w:tcPr>
            <w:tcW w:w="78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7FF7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财务制度健全，按要求配备专职会计人员。科目设置健全合理，凭证档案保存完整。账实相符。不符合要求的不纳入。</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5D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查看资料，现场核实</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B6F91">
            <w:pPr>
              <w:jc w:val="center"/>
              <w:rPr>
                <w:rFonts w:hint="eastAsia" w:ascii="仿宋" w:hAnsi="仿宋" w:eastAsia="仿宋" w:cs="仿宋"/>
                <w:i w:val="0"/>
                <w:iCs w:val="0"/>
                <w:color w:val="000000"/>
                <w:sz w:val="20"/>
                <w:szCs w:val="20"/>
                <w:u w:val="none"/>
              </w:rPr>
            </w:pPr>
          </w:p>
        </w:tc>
      </w:tr>
      <w:tr w14:paraId="7D603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jc w:val="center"/>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6F0D5">
            <w:pPr>
              <w:jc w:val="center"/>
              <w:rPr>
                <w:rFonts w:hint="eastAsia" w:ascii="仿宋" w:hAnsi="仿宋" w:eastAsia="仿宋" w:cs="仿宋"/>
                <w:i w:val="0"/>
                <w:iCs w:val="0"/>
                <w:color w:val="000000"/>
                <w:sz w:val="20"/>
                <w:szCs w:val="20"/>
                <w:u w:val="none"/>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DC0FC">
            <w:pPr>
              <w:jc w:val="center"/>
              <w:rPr>
                <w:rFonts w:hint="eastAsia" w:asciiTheme="minorEastAsia" w:hAnsiTheme="minorEastAsia" w:eastAsiaTheme="minorEastAsia" w:cstheme="minorEastAsia"/>
                <w:b/>
                <w:bCs/>
                <w:i w:val="0"/>
                <w:iCs w:val="0"/>
                <w:color w:val="000000"/>
                <w:sz w:val="20"/>
                <w:szCs w:val="20"/>
                <w:u w:val="none"/>
              </w:rPr>
            </w:pPr>
          </w:p>
        </w:tc>
        <w:tc>
          <w:tcPr>
            <w:tcW w:w="78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776F1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为参保人员服务的线上执业的医师是济南市区域内医保定点医疗机构执业的医师，主执业地和参保地是济南市医保定点医疗机构。不符合要求的不纳入。</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A6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查看资料，现场核实</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87011">
            <w:pPr>
              <w:jc w:val="center"/>
              <w:rPr>
                <w:rFonts w:hint="eastAsia" w:ascii="仿宋" w:hAnsi="仿宋" w:eastAsia="仿宋" w:cs="仿宋"/>
                <w:i w:val="0"/>
                <w:iCs w:val="0"/>
                <w:color w:val="000000"/>
                <w:sz w:val="20"/>
                <w:szCs w:val="20"/>
                <w:u w:val="none"/>
              </w:rPr>
            </w:pPr>
          </w:p>
        </w:tc>
      </w:tr>
      <w:tr w14:paraId="55CA7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jc w:val="center"/>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4A7DB">
            <w:pPr>
              <w:jc w:val="center"/>
              <w:rPr>
                <w:rFonts w:hint="eastAsia" w:ascii="仿宋" w:hAnsi="仿宋" w:eastAsia="仿宋" w:cs="仿宋"/>
                <w:i w:val="0"/>
                <w:iCs w:val="0"/>
                <w:color w:val="000000"/>
                <w:sz w:val="20"/>
                <w:szCs w:val="20"/>
                <w:u w:val="none"/>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388A0">
            <w:pPr>
              <w:jc w:val="center"/>
              <w:rPr>
                <w:rFonts w:hint="eastAsia" w:asciiTheme="minorEastAsia" w:hAnsiTheme="minorEastAsia" w:eastAsiaTheme="minorEastAsia" w:cstheme="minorEastAsia"/>
                <w:b/>
                <w:bCs/>
                <w:i w:val="0"/>
                <w:iCs w:val="0"/>
                <w:color w:val="000000"/>
                <w:sz w:val="20"/>
                <w:szCs w:val="20"/>
                <w:u w:val="none"/>
              </w:rPr>
            </w:pPr>
          </w:p>
        </w:tc>
        <w:tc>
          <w:tcPr>
            <w:tcW w:w="78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25C4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按规定与所有工作人员签订劳动合同，缴纳社会保险；其中医师、护士、药学和医技等专业技术人员以及专（兼）职医保管理人员应签订劳动合同、连续足额缴纳社会保险3个月以上，返聘退休人员、多点执业人员应提供劳务合同及不少于3个月的工资流水。不符合以上要求不纳入。</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F2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查看资料，现场核实</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9125B">
            <w:pPr>
              <w:jc w:val="center"/>
              <w:rPr>
                <w:rFonts w:hint="eastAsia" w:ascii="仿宋" w:hAnsi="仿宋" w:eastAsia="仿宋" w:cs="仿宋"/>
                <w:i w:val="0"/>
                <w:iCs w:val="0"/>
                <w:color w:val="000000"/>
                <w:sz w:val="20"/>
                <w:szCs w:val="20"/>
                <w:u w:val="none"/>
              </w:rPr>
            </w:pPr>
          </w:p>
        </w:tc>
      </w:tr>
      <w:tr w14:paraId="65766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5061" w:type="dxa"/>
            <w:gridSpan w:val="8"/>
            <w:tcBorders>
              <w:top w:val="nil"/>
              <w:left w:val="nil"/>
              <w:bottom w:val="nil"/>
              <w:right w:val="nil"/>
            </w:tcBorders>
            <w:shd w:val="clear" w:color="auto" w:fill="auto"/>
            <w:vAlign w:val="center"/>
          </w:tcPr>
          <w:p w14:paraId="645DF165">
            <w:pPr>
              <w:keepNext w:val="0"/>
              <w:keepLines w:val="0"/>
              <w:pageBreakBefore w:val="0"/>
              <w:widowControl/>
              <w:suppressLineNumbers w:val="0"/>
              <w:kinsoku/>
              <w:wordWrap/>
              <w:overflowPunct/>
              <w:topLinePunct w:val="0"/>
              <w:autoSpaceDE/>
              <w:autoSpaceDN/>
              <w:bidi w:val="0"/>
              <w:adjustRightInd/>
              <w:snapToGrid/>
              <w:spacing w:before="159" w:beforeLines="50"/>
              <w:jc w:val="left"/>
              <w:textAlignment w:val="center"/>
              <w:rPr>
                <w:rFonts w:ascii="仿宋_GB2312" w:hAnsi="宋体" w:eastAsia="仿宋_GB2312" w:cs="仿宋_GB2312"/>
                <w:i w:val="0"/>
                <w:iCs w:val="0"/>
                <w:color w:val="000000"/>
                <w:sz w:val="20"/>
                <w:szCs w:val="20"/>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备注：</w:t>
            </w:r>
            <w:r>
              <w:rPr>
                <w:rFonts w:hint="default" w:ascii="Times New Roman" w:hAnsi="Times New Roman" w:cs="Times New Roman" w:eastAsiaTheme="minorEastAsia"/>
                <w:i w:val="0"/>
                <w:iCs w:val="0"/>
                <w:color w:val="000000"/>
                <w:kern w:val="0"/>
                <w:sz w:val="22"/>
                <w:szCs w:val="22"/>
                <w:u w:val="none"/>
                <w:lang w:val="en-US" w:eastAsia="zh-CN" w:bidi="ar"/>
              </w:rPr>
              <w:t>1</w:t>
            </w:r>
            <w:r>
              <w:rPr>
                <w:rFonts w:hint="eastAsia" w:asciiTheme="minorEastAsia" w:hAnsiTheme="minorEastAsia" w:eastAsiaTheme="minorEastAsia" w:cstheme="minorEastAsia"/>
                <w:i w:val="0"/>
                <w:iCs w:val="0"/>
                <w:color w:val="000000"/>
                <w:kern w:val="0"/>
                <w:sz w:val="22"/>
                <w:szCs w:val="22"/>
                <w:u w:val="none"/>
                <w:lang w:val="en-US" w:eastAsia="zh-CN" w:bidi="ar"/>
              </w:rPr>
              <w:t>.评估记录栏填写是否符合要求；</w:t>
            </w:r>
            <w:r>
              <w:rPr>
                <w:rFonts w:hint="default" w:ascii="Times New Roman" w:hAnsi="Times New Roman" w:cs="Times New Roman" w:eastAsiaTheme="minorEastAsia"/>
                <w:i w:val="0"/>
                <w:iCs w:val="0"/>
                <w:color w:val="000000"/>
                <w:kern w:val="0"/>
                <w:sz w:val="22"/>
                <w:szCs w:val="22"/>
                <w:u w:val="none"/>
                <w:lang w:val="en-US" w:eastAsia="zh-CN" w:bidi="ar"/>
              </w:rPr>
              <w:t>2</w:t>
            </w:r>
            <w:r>
              <w:rPr>
                <w:rFonts w:hint="eastAsia" w:asciiTheme="minorEastAsia" w:hAnsiTheme="minorEastAsia" w:eastAsiaTheme="minorEastAsia" w:cstheme="minorEastAsia"/>
                <w:i w:val="0"/>
                <w:iCs w:val="0"/>
                <w:color w:val="000000"/>
                <w:kern w:val="0"/>
                <w:sz w:val="22"/>
                <w:szCs w:val="22"/>
                <w:u w:val="none"/>
                <w:lang w:val="en-US" w:eastAsia="zh-CN" w:bidi="ar"/>
              </w:rPr>
              <w:t>.国家和省有新规定的从其新规。                                  评估人员签字：</w:t>
            </w:r>
          </w:p>
        </w:tc>
      </w:tr>
    </w:tbl>
    <w:p w14:paraId="3B09DFA5">
      <w:bookmarkStart w:id="0" w:name="_GoBack"/>
      <w:bookmarkEnd w:id="0"/>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F43753"/>
    <w:rsid w:val="54866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unhideWhenUsed/>
    <w:qFormat/>
    <w:uiPriority w:val="99"/>
    <w:rPr>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2025-10-10T09:47:56Z</dcterms:created>
  <dc:creator>lenovo</dc:creator>
  <cp:lastModifiedBy>lenovo</cp:lastModifiedBy>
  <dcterms:modified xsi:type="dcterms:W3CDTF">2025-10-10T09:48:43Z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61FFB2BF024C444A8A95CF899FCE972F_12</vt:lpwstr>
  </property>
</Properties>
</file>