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762"/>
        <w:gridCol w:w="8250"/>
        <w:gridCol w:w="2287"/>
        <w:gridCol w:w="1588"/>
      </w:tblGrid>
      <w:tr w14:paraId="482D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6" w:type="dxa"/>
            <w:tcBorders>
              <w:top w:val="nil"/>
              <w:left w:val="nil"/>
              <w:bottom w:val="nil"/>
              <w:right w:val="nil"/>
            </w:tcBorders>
            <w:shd w:val="clear" w:color="auto" w:fill="auto"/>
            <w:noWrap/>
            <w:vAlign w:val="center"/>
          </w:tcPr>
          <w:p w14:paraId="2E6B9328">
            <w:pPr>
              <w:keepNext w:val="0"/>
              <w:keepLines w:val="0"/>
              <w:widowControl/>
              <w:suppressLineNumbers w:val="0"/>
              <w:ind w:firstLine="320" w:firstLineChars="100"/>
              <w:jc w:val="left"/>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附件2</w:t>
            </w:r>
          </w:p>
        </w:tc>
        <w:tc>
          <w:tcPr>
            <w:tcW w:w="1762" w:type="dxa"/>
            <w:tcBorders>
              <w:top w:val="nil"/>
              <w:left w:val="nil"/>
              <w:bottom w:val="nil"/>
              <w:right w:val="nil"/>
            </w:tcBorders>
            <w:shd w:val="clear" w:color="auto" w:fill="auto"/>
            <w:noWrap/>
            <w:vAlign w:val="center"/>
          </w:tcPr>
          <w:p w14:paraId="527A0A0A">
            <w:pPr>
              <w:rPr>
                <w:rFonts w:hint="eastAsia" w:ascii="宋体" w:hAnsi="宋体" w:eastAsia="宋体" w:cs="宋体"/>
                <w:i w:val="0"/>
                <w:iCs w:val="0"/>
                <w:color w:val="000000"/>
                <w:sz w:val="22"/>
                <w:szCs w:val="22"/>
                <w:u w:val="none"/>
              </w:rPr>
            </w:pPr>
          </w:p>
        </w:tc>
        <w:tc>
          <w:tcPr>
            <w:tcW w:w="8250" w:type="dxa"/>
            <w:tcBorders>
              <w:top w:val="nil"/>
              <w:left w:val="nil"/>
              <w:bottom w:val="nil"/>
              <w:right w:val="nil"/>
            </w:tcBorders>
            <w:shd w:val="clear" w:color="auto" w:fill="auto"/>
            <w:noWrap/>
            <w:vAlign w:val="center"/>
          </w:tcPr>
          <w:p w14:paraId="5B6C609D">
            <w:pPr>
              <w:rPr>
                <w:rFonts w:hint="eastAsia" w:ascii="宋体" w:hAnsi="宋体" w:eastAsia="宋体" w:cs="宋体"/>
                <w:i w:val="0"/>
                <w:iCs w:val="0"/>
                <w:color w:val="000000"/>
                <w:sz w:val="22"/>
                <w:szCs w:val="22"/>
                <w:u w:val="none"/>
              </w:rPr>
            </w:pPr>
          </w:p>
        </w:tc>
        <w:tc>
          <w:tcPr>
            <w:tcW w:w="2287" w:type="dxa"/>
            <w:tcBorders>
              <w:top w:val="nil"/>
              <w:left w:val="nil"/>
              <w:bottom w:val="nil"/>
              <w:right w:val="nil"/>
            </w:tcBorders>
            <w:shd w:val="clear" w:color="auto" w:fill="auto"/>
            <w:noWrap/>
            <w:vAlign w:val="center"/>
          </w:tcPr>
          <w:p w14:paraId="451F92EC">
            <w:pPr>
              <w:rPr>
                <w:rFonts w:hint="eastAsia" w:ascii="宋体" w:hAnsi="宋体" w:eastAsia="宋体" w:cs="宋体"/>
                <w:i w:val="0"/>
                <w:iCs w:val="0"/>
                <w:color w:val="000000"/>
                <w:sz w:val="22"/>
                <w:szCs w:val="22"/>
                <w:u w:val="none"/>
              </w:rPr>
            </w:pPr>
          </w:p>
        </w:tc>
        <w:tc>
          <w:tcPr>
            <w:tcW w:w="1588" w:type="dxa"/>
            <w:tcBorders>
              <w:top w:val="nil"/>
              <w:left w:val="nil"/>
              <w:bottom w:val="nil"/>
              <w:right w:val="nil"/>
            </w:tcBorders>
            <w:shd w:val="clear" w:color="auto" w:fill="auto"/>
            <w:noWrap/>
            <w:vAlign w:val="center"/>
          </w:tcPr>
          <w:p w14:paraId="22B31734">
            <w:pPr>
              <w:rPr>
                <w:rFonts w:hint="eastAsia" w:ascii="宋体" w:hAnsi="宋体" w:eastAsia="宋体" w:cs="宋体"/>
                <w:i w:val="0"/>
                <w:iCs w:val="0"/>
                <w:color w:val="000000"/>
                <w:sz w:val="22"/>
                <w:szCs w:val="22"/>
                <w:u w:val="none"/>
              </w:rPr>
            </w:pPr>
          </w:p>
        </w:tc>
      </w:tr>
      <w:tr w14:paraId="4449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423" w:type="dxa"/>
            <w:gridSpan w:val="5"/>
            <w:tcBorders>
              <w:top w:val="nil"/>
              <w:left w:val="nil"/>
              <w:bottom w:val="nil"/>
              <w:right w:val="nil"/>
            </w:tcBorders>
            <w:shd w:val="clear" w:color="auto" w:fill="auto"/>
            <w:vAlign w:val="center"/>
          </w:tcPr>
          <w:p w14:paraId="54ECB326">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省直基本医疗保险住院统筹支付医疗机构评估标准表</w:t>
            </w:r>
          </w:p>
        </w:tc>
      </w:tr>
      <w:tr w14:paraId="1665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423" w:type="dxa"/>
            <w:gridSpan w:val="5"/>
            <w:tcBorders>
              <w:top w:val="nil"/>
              <w:left w:val="nil"/>
              <w:bottom w:val="nil"/>
              <w:right w:val="nil"/>
            </w:tcBorders>
            <w:shd w:val="clear" w:color="auto" w:fill="auto"/>
            <w:vAlign w:val="center"/>
          </w:tcPr>
          <w:p w14:paraId="0D8A4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医疗机构名称： （加盖公章）                                                                                             评估日期：       年    月    日</w:t>
            </w:r>
          </w:p>
        </w:tc>
      </w:tr>
      <w:tr w14:paraId="50E7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2B3D">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10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2B4A0">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项目要求</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CFD2">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评估方法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6E3">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评估记录</w:t>
            </w:r>
          </w:p>
        </w:tc>
      </w:tr>
      <w:tr w14:paraId="1EB6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490C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1B7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基本条件</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5F9D">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医疗机构执业许可证》等证照齐全，并在有效期内，证照注册地址与实际一致。按照卫生部门核准的诊疗科目执业，设备及服务设施符合卫生部门规定的标准，不符合相关要求、主营业务不属于基本医保支付范围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C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3812">
            <w:pPr>
              <w:jc w:val="both"/>
              <w:rPr>
                <w:rFonts w:hint="eastAsia" w:ascii="仿宋" w:hAnsi="仿宋" w:eastAsia="仿宋" w:cs="仿宋"/>
                <w:i w:val="0"/>
                <w:iCs w:val="0"/>
                <w:color w:val="000000"/>
                <w:sz w:val="20"/>
                <w:szCs w:val="20"/>
                <w:u w:val="none"/>
              </w:rPr>
            </w:pPr>
          </w:p>
        </w:tc>
      </w:tr>
      <w:tr w14:paraId="5225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CDF1">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455A">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8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无对外出租、承包科室。不符合要求的不纳入。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A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4BEA">
            <w:pPr>
              <w:jc w:val="both"/>
              <w:rPr>
                <w:rFonts w:hint="eastAsia" w:ascii="仿宋" w:hAnsi="仿宋" w:eastAsia="仿宋" w:cs="仿宋"/>
                <w:i w:val="0"/>
                <w:iCs w:val="0"/>
                <w:color w:val="000000"/>
                <w:sz w:val="20"/>
                <w:szCs w:val="20"/>
                <w:u w:val="none"/>
              </w:rPr>
            </w:pPr>
          </w:p>
        </w:tc>
      </w:tr>
      <w:tr w14:paraId="74AF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07D1">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0BC2">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5F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营业时间满3个月以上，经属地医保部门政策培训6个月，且培训期间无违反协议及医保政策规定，无违规违纪。不符合要求的不纳入。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75EC">
            <w:pPr>
              <w:jc w:val="both"/>
              <w:rPr>
                <w:rFonts w:hint="eastAsia" w:ascii="仿宋" w:hAnsi="仿宋" w:eastAsia="仿宋" w:cs="仿宋"/>
                <w:i w:val="0"/>
                <w:iCs w:val="0"/>
                <w:color w:val="000000"/>
                <w:sz w:val="20"/>
                <w:szCs w:val="20"/>
                <w:u w:val="none"/>
              </w:rPr>
            </w:pPr>
          </w:p>
        </w:tc>
      </w:tr>
      <w:tr w14:paraId="0158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AF0F0">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2</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0D8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信息系统</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信息系统数据准确，数据保存不少于6个月，有专兼职技术人员负责系统信息维护工作。不符合要求不纳入。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E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6EA9">
            <w:pPr>
              <w:jc w:val="both"/>
              <w:rPr>
                <w:rFonts w:hint="eastAsia" w:ascii="仿宋" w:hAnsi="仿宋" w:eastAsia="仿宋" w:cs="仿宋"/>
                <w:i w:val="0"/>
                <w:iCs w:val="0"/>
                <w:color w:val="000000"/>
                <w:sz w:val="20"/>
                <w:szCs w:val="20"/>
                <w:u w:val="none"/>
              </w:rPr>
            </w:pPr>
          </w:p>
        </w:tc>
      </w:tr>
      <w:tr w14:paraId="611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D245F">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809E">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99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按照医保部门要求药品耗材追溯码实现“应采尽采、依码结算、依码支付”。不符合要求不纳入。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C388">
            <w:pPr>
              <w:jc w:val="both"/>
              <w:rPr>
                <w:rFonts w:hint="eastAsia" w:ascii="仿宋" w:hAnsi="仿宋" w:eastAsia="仿宋" w:cs="仿宋"/>
                <w:i w:val="0"/>
                <w:iCs w:val="0"/>
                <w:color w:val="000000"/>
                <w:sz w:val="20"/>
                <w:szCs w:val="20"/>
                <w:u w:val="none"/>
              </w:rPr>
            </w:pPr>
          </w:p>
        </w:tc>
      </w:tr>
      <w:tr w14:paraId="6156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38E9">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1989">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信息系统能够满足省直医保结算、查询等功能需求。不符合要求的不纳入。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615">
            <w:pPr>
              <w:jc w:val="both"/>
              <w:rPr>
                <w:rFonts w:hint="eastAsia" w:ascii="仿宋" w:hAnsi="仿宋" w:eastAsia="仿宋" w:cs="仿宋"/>
                <w:i w:val="0"/>
                <w:iCs w:val="0"/>
                <w:color w:val="000000"/>
                <w:sz w:val="20"/>
                <w:szCs w:val="20"/>
                <w:u w:val="none"/>
              </w:rPr>
            </w:pPr>
          </w:p>
        </w:tc>
      </w:tr>
      <w:tr w14:paraId="61D9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7A14">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6B4A">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C1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按照医保部门要求，有关就诊、检查、检验、影像等信息承诺通过全国统一的医保信息平台上传。不承诺的不纳入。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6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18D2">
            <w:pPr>
              <w:jc w:val="both"/>
              <w:rPr>
                <w:rFonts w:hint="eastAsia" w:ascii="仿宋" w:hAnsi="仿宋" w:eastAsia="仿宋" w:cs="仿宋"/>
                <w:i w:val="0"/>
                <w:iCs w:val="0"/>
                <w:color w:val="000000"/>
                <w:sz w:val="20"/>
                <w:szCs w:val="20"/>
                <w:u w:val="none"/>
              </w:rPr>
            </w:pPr>
          </w:p>
        </w:tc>
      </w:tr>
      <w:tr w14:paraId="6398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536" w:type="dxa"/>
            <w:vMerge w:val="restart"/>
            <w:tcBorders>
              <w:top w:val="nil"/>
              <w:left w:val="single" w:color="000000" w:sz="4" w:space="0"/>
              <w:bottom w:val="nil"/>
              <w:right w:val="single" w:color="000000" w:sz="4" w:space="0"/>
            </w:tcBorders>
            <w:shd w:val="clear" w:color="auto" w:fill="auto"/>
            <w:vAlign w:val="center"/>
          </w:tcPr>
          <w:p w14:paraId="645A7253">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43107BDC">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4F7C1C73">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3</w:t>
            </w:r>
          </w:p>
          <w:p w14:paraId="373F2990">
            <w:pPr>
              <w:pStyle w:val="2"/>
              <w:rPr>
                <w:rFonts w:hint="default" w:ascii="Times New Roman" w:hAnsi="Times New Roman" w:eastAsia="仿宋" w:cs="Times New Roman"/>
                <w:b/>
                <w:bCs/>
                <w:i w:val="0"/>
                <w:iCs w:val="0"/>
                <w:color w:val="000000"/>
                <w:kern w:val="0"/>
                <w:sz w:val="22"/>
                <w:szCs w:val="22"/>
                <w:u w:val="none"/>
                <w:lang w:val="en-US" w:eastAsia="zh-CN" w:bidi="ar"/>
              </w:rPr>
            </w:pPr>
          </w:p>
          <w:p w14:paraId="52B541D3">
            <w:pPr>
              <w:rPr>
                <w:rFonts w:hint="default" w:ascii="Times New Roman" w:hAnsi="Times New Roman" w:eastAsia="仿宋" w:cs="Times New Roman"/>
                <w:b/>
                <w:bCs/>
                <w:i w:val="0"/>
                <w:iCs w:val="0"/>
                <w:color w:val="000000"/>
                <w:kern w:val="0"/>
                <w:sz w:val="22"/>
                <w:szCs w:val="22"/>
                <w:u w:val="none"/>
                <w:lang w:val="en-US" w:eastAsia="zh-CN" w:bidi="ar"/>
              </w:rPr>
            </w:pPr>
          </w:p>
          <w:p w14:paraId="7D630EE1">
            <w:pPr>
              <w:pStyle w:val="2"/>
              <w:rPr>
                <w:rFonts w:hint="default" w:ascii="Times New Roman" w:hAnsi="Times New Roman" w:eastAsia="仿宋" w:cs="Times New Roman"/>
                <w:b/>
                <w:bCs/>
                <w:i w:val="0"/>
                <w:iCs w:val="0"/>
                <w:color w:val="000000"/>
                <w:kern w:val="0"/>
                <w:sz w:val="22"/>
                <w:szCs w:val="22"/>
                <w:u w:val="none"/>
                <w:lang w:val="en-US" w:eastAsia="zh-CN" w:bidi="ar"/>
              </w:rPr>
            </w:pPr>
          </w:p>
          <w:p w14:paraId="63CEDC78">
            <w:pPr>
              <w:rPr>
                <w:rFonts w:hint="default" w:ascii="Times New Roman" w:hAnsi="Times New Roman" w:eastAsia="仿宋" w:cs="Times New Roman"/>
                <w:b/>
                <w:bCs/>
                <w:i w:val="0"/>
                <w:iCs w:val="0"/>
                <w:color w:val="000000"/>
                <w:kern w:val="0"/>
                <w:sz w:val="22"/>
                <w:szCs w:val="22"/>
                <w:u w:val="none"/>
                <w:lang w:val="en-US" w:eastAsia="zh-CN" w:bidi="ar"/>
              </w:rPr>
            </w:pPr>
          </w:p>
          <w:p w14:paraId="4EB0E577">
            <w:pPr>
              <w:pStyle w:val="2"/>
              <w:jc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3</w:t>
            </w:r>
          </w:p>
          <w:p w14:paraId="45127C2B">
            <w:pPr>
              <w:rPr>
                <w:rFonts w:hint="default"/>
              </w:rPr>
            </w:pPr>
          </w:p>
        </w:tc>
        <w:tc>
          <w:tcPr>
            <w:tcW w:w="1762" w:type="dxa"/>
            <w:vMerge w:val="restart"/>
            <w:tcBorders>
              <w:top w:val="nil"/>
              <w:left w:val="single" w:color="000000" w:sz="4" w:space="0"/>
              <w:bottom w:val="nil"/>
              <w:right w:val="single" w:color="000000" w:sz="4" w:space="0"/>
            </w:tcBorders>
            <w:shd w:val="clear" w:color="auto" w:fill="auto"/>
            <w:vAlign w:val="center"/>
          </w:tcPr>
          <w:p w14:paraId="4E3359AC">
            <w:pPr>
              <w:pStyle w:val="2"/>
              <w:rPr>
                <w:rFonts w:hint="eastAsia"/>
                <w:lang w:val="en-US" w:eastAsia="zh-CN"/>
              </w:rPr>
            </w:pPr>
          </w:p>
          <w:p w14:paraId="35FC12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服务能力</w:t>
            </w:r>
          </w:p>
          <w:p w14:paraId="798EE47F">
            <w:pPr>
              <w:rPr>
                <w:rFonts w:hint="eastAsia" w:asciiTheme="minorEastAsia" w:hAnsiTheme="minorEastAsia" w:eastAsiaTheme="minorEastAsia" w:cstheme="minorEastAsia"/>
                <w:b/>
                <w:bCs/>
                <w:i w:val="0"/>
                <w:iCs w:val="0"/>
                <w:color w:val="000000"/>
                <w:kern w:val="0"/>
                <w:sz w:val="20"/>
                <w:szCs w:val="20"/>
                <w:u w:val="none"/>
                <w:lang w:val="en-US" w:eastAsia="zh-CN" w:bidi="ar"/>
              </w:rPr>
            </w:pPr>
          </w:p>
          <w:p w14:paraId="60554283">
            <w:pPr>
              <w:pStyle w:val="2"/>
              <w:rPr>
                <w:rFonts w:hint="eastAsia" w:asciiTheme="minorEastAsia" w:hAnsiTheme="minorEastAsia" w:eastAsiaTheme="minorEastAsia" w:cstheme="minorEastAsia"/>
                <w:b/>
                <w:bCs/>
                <w:i w:val="0"/>
                <w:iCs w:val="0"/>
                <w:color w:val="000000"/>
                <w:kern w:val="0"/>
                <w:sz w:val="20"/>
                <w:szCs w:val="20"/>
                <w:u w:val="none"/>
                <w:lang w:val="en-US" w:eastAsia="zh-CN" w:bidi="ar"/>
              </w:rPr>
            </w:pPr>
          </w:p>
          <w:p w14:paraId="78E17BE6">
            <w:pPr>
              <w:pStyle w:val="2"/>
              <w:rPr>
                <w:rFonts w:hint="eastAsia"/>
                <w:lang w:val="en-US" w:eastAsia="zh-CN"/>
              </w:rPr>
            </w:pPr>
          </w:p>
          <w:p w14:paraId="594839E2">
            <w:pPr>
              <w:keepNext w:val="0"/>
              <w:keepLines w:val="0"/>
              <w:widowControl/>
              <w:suppressLineNumbers w:val="0"/>
              <w:jc w:val="center"/>
              <w:textAlignment w:val="center"/>
              <w:rPr>
                <w:rFonts w:hint="eastAsi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服务能力</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3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注册该医疗机构的卫生技术人员达到基本标准配置数量，且专业技术人员具备相应岗位的任职资格，不得超范围执业。不符合要求的不纳入。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1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6C2">
            <w:pPr>
              <w:jc w:val="both"/>
              <w:rPr>
                <w:rFonts w:hint="eastAsia" w:ascii="仿宋" w:hAnsi="仿宋" w:eastAsia="仿宋" w:cs="仿宋"/>
                <w:i w:val="0"/>
                <w:iCs w:val="0"/>
                <w:color w:val="000000"/>
                <w:sz w:val="20"/>
                <w:szCs w:val="20"/>
                <w:u w:val="none"/>
              </w:rPr>
            </w:pPr>
          </w:p>
        </w:tc>
      </w:tr>
      <w:tr w14:paraId="22B7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536" w:type="dxa"/>
            <w:vMerge w:val="continue"/>
            <w:tcBorders>
              <w:top w:val="nil"/>
              <w:left w:val="single" w:color="000000" w:sz="4" w:space="0"/>
              <w:bottom w:val="single" w:color="auto" w:sz="4" w:space="0"/>
              <w:right w:val="single" w:color="000000" w:sz="4" w:space="0"/>
            </w:tcBorders>
            <w:shd w:val="clear" w:color="auto" w:fill="auto"/>
            <w:vAlign w:val="center"/>
          </w:tcPr>
          <w:p w14:paraId="47636042">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nil"/>
              <w:left w:val="single" w:color="000000" w:sz="4" w:space="0"/>
              <w:bottom w:val="single" w:color="auto" w:sz="4" w:space="0"/>
              <w:right w:val="single" w:color="000000" w:sz="4" w:space="0"/>
            </w:tcBorders>
            <w:shd w:val="clear" w:color="auto" w:fill="auto"/>
            <w:vAlign w:val="center"/>
          </w:tcPr>
          <w:p w14:paraId="51FE52CB">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61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科室设置符合基本标准；目录内药品占80%以上；医疗业务用房面积、床位数、仪器设备等持续符合基本标准。不符合要求的不纳入。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9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90F8">
            <w:pPr>
              <w:jc w:val="both"/>
              <w:rPr>
                <w:rFonts w:hint="eastAsia" w:ascii="仿宋" w:hAnsi="仿宋" w:eastAsia="仿宋" w:cs="仿宋"/>
                <w:i w:val="0"/>
                <w:iCs w:val="0"/>
                <w:color w:val="000000"/>
                <w:sz w:val="20"/>
                <w:szCs w:val="20"/>
                <w:u w:val="none"/>
              </w:rPr>
            </w:pPr>
          </w:p>
        </w:tc>
      </w:tr>
      <w:tr w14:paraId="2278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39F7AF">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D61026">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8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pacing w:val="6"/>
                <w:kern w:val="0"/>
                <w:sz w:val="20"/>
                <w:szCs w:val="20"/>
                <w:u w:val="none"/>
                <w:lang w:val="en-US" w:eastAsia="zh-CN" w:bidi="ar"/>
              </w:rPr>
              <w:t>严禁医务、医技人员在医疗机构内“挂证”，由他人代为开展诊疗服务。不符合要求的不纳入。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2415">
            <w:pPr>
              <w:jc w:val="both"/>
              <w:rPr>
                <w:rFonts w:hint="eastAsia" w:ascii="仿宋" w:hAnsi="仿宋" w:eastAsia="仿宋" w:cs="仿宋"/>
                <w:i w:val="0"/>
                <w:iCs w:val="0"/>
                <w:color w:val="000000"/>
                <w:sz w:val="20"/>
                <w:szCs w:val="20"/>
                <w:u w:val="none"/>
              </w:rPr>
            </w:pPr>
          </w:p>
        </w:tc>
      </w:tr>
      <w:tr w14:paraId="08C2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6210D2">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6C4DC81">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65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开展检查检验服务的至少有1名固定的具有相应资质的医技人员。不符合要求的不纳入。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2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862E">
            <w:pPr>
              <w:jc w:val="both"/>
              <w:rPr>
                <w:rFonts w:hint="eastAsia" w:ascii="仿宋" w:hAnsi="仿宋" w:eastAsia="仿宋" w:cs="仿宋"/>
                <w:i w:val="0"/>
                <w:iCs w:val="0"/>
                <w:color w:val="000000"/>
                <w:sz w:val="20"/>
                <w:szCs w:val="20"/>
                <w:u w:val="none"/>
              </w:rPr>
            </w:pPr>
          </w:p>
        </w:tc>
      </w:tr>
      <w:tr w14:paraId="7E3A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B2AB03">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876410">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A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按照医保部门要求实现医保支付资格相关人员信息维护上传，并全员承诺。不符合要求的不纳入。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6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624">
            <w:pPr>
              <w:jc w:val="both"/>
              <w:rPr>
                <w:rFonts w:hint="eastAsia" w:ascii="仿宋" w:hAnsi="仿宋" w:eastAsia="仿宋" w:cs="仿宋"/>
                <w:i w:val="0"/>
                <w:iCs w:val="0"/>
                <w:color w:val="000000"/>
                <w:sz w:val="20"/>
                <w:szCs w:val="20"/>
                <w:u w:val="none"/>
              </w:rPr>
            </w:pPr>
          </w:p>
        </w:tc>
      </w:tr>
      <w:tr w14:paraId="64A0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153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21D3155">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4</w:t>
            </w:r>
          </w:p>
        </w:tc>
        <w:tc>
          <w:tcPr>
            <w:tcW w:w="17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2C4A6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内部管理</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6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建立医院规章制度和岗位责任制，落实医疗质量和医疗安全制度。不符合要求的不纳入。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2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D3C">
            <w:pPr>
              <w:jc w:val="both"/>
              <w:rPr>
                <w:rFonts w:hint="eastAsia" w:ascii="仿宋" w:hAnsi="仿宋" w:eastAsia="仿宋" w:cs="仿宋"/>
                <w:i w:val="0"/>
                <w:iCs w:val="0"/>
                <w:color w:val="000000"/>
                <w:sz w:val="20"/>
                <w:szCs w:val="20"/>
                <w:u w:val="none"/>
              </w:rPr>
            </w:pPr>
          </w:p>
        </w:tc>
      </w:tr>
      <w:tr w14:paraId="031B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2E5EEE">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41DF8E">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45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病历书写准确、规范；诊疗记录、医嘱等与病情及费用明细吻合。不符合要求的不纳入。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8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7C4C">
            <w:pPr>
              <w:jc w:val="both"/>
              <w:rPr>
                <w:rFonts w:hint="eastAsia" w:ascii="仿宋" w:hAnsi="仿宋" w:eastAsia="仿宋" w:cs="仿宋"/>
                <w:i w:val="0"/>
                <w:iCs w:val="0"/>
                <w:color w:val="000000"/>
                <w:sz w:val="20"/>
                <w:szCs w:val="20"/>
                <w:u w:val="none"/>
              </w:rPr>
            </w:pPr>
          </w:p>
        </w:tc>
      </w:tr>
      <w:tr w14:paraId="038C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F591D4">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53765E">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07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药品、医用材料供应商的相关资质、合格证明文件等材料齐全，确保购入渠道正规，保证质量。不符合要求的不纳入。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8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1E99">
            <w:pPr>
              <w:jc w:val="both"/>
              <w:rPr>
                <w:rFonts w:hint="eastAsia" w:ascii="仿宋" w:hAnsi="仿宋" w:eastAsia="仿宋" w:cs="仿宋"/>
                <w:i w:val="0"/>
                <w:iCs w:val="0"/>
                <w:color w:val="000000"/>
                <w:sz w:val="20"/>
                <w:szCs w:val="20"/>
                <w:u w:val="none"/>
              </w:rPr>
            </w:pPr>
          </w:p>
        </w:tc>
      </w:tr>
      <w:tr w14:paraId="31C0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A8836B">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8E46CF">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严格执行处方管理规定，加强处方规范化管理。不符合要求的不纳入。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BD2">
            <w:pPr>
              <w:jc w:val="both"/>
              <w:rPr>
                <w:rFonts w:hint="eastAsia" w:ascii="仿宋" w:hAnsi="仿宋" w:eastAsia="仿宋" w:cs="仿宋"/>
                <w:i w:val="0"/>
                <w:iCs w:val="0"/>
                <w:color w:val="000000"/>
                <w:sz w:val="20"/>
                <w:szCs w:val="20"/>
                <w:u w:val="none"/>
              </w:rPr>
            </w:pPr>
          </w:p>
        </w:tc>
      </w:tr>
      <w:tr w14:paraId="1768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9AD772">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25EDA6">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2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立医疗机构提供的基本医疗服务统一执行政府指导价。非公立医疗机构应承诺执行与同级公立医疗机构相同的医疗服务价格项目和价格水平，并按照公平合理、诚实信用、质价相符的原则确定所提供的药品、医用耗材价格，应承诺不得高于同统筹地区公立医疗机构价格水平，提供未在医药采购平台挂网的药品和医用耗材的，应承诺不得明显高于同统筹地区其他医疗机构价格水平。不符合要求、不履行相关承诺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C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B0E">
            <w:pPr>
              <w:jc w:val="both"/>
              <w:rPr>
                <w:rFonts w:hint="eastAsia" w:ascii="仿宋" w:hAnsi="仿宋" w:eastAsia="仿宋" w:cs="仿宋"/>
                <w:i w:val="0"/>
                <w:iCs w:val="0"/>
                <w:color w:val="000000"/>
                <w:sz w:val="20"/>
                <w:szCs w:val="20"/>
                <w:u w:val="none"/>
              </w:rPr>
            </w:pPr>
          </w:p>
        </w:tc>
      </w:tr>
      <w:tr w14:paraId="7E87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C6342D">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0472AD">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75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财务制度健全，按要求配备专职会计人员。科目设置健全合理，凭证档案保存完整。账实相符。不符合要求的不纳入。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4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8CC">
            <w:pPr>
              <w:jc w:val="both"/>
              <w:rPr>
                <w:rFonts w:hint="eastAsia" w:ascii="仿宋" w:hAnsi="仿宋" w:eastAsia="仿宋" w:cs="仿宋"/>
                <w:i w:val="0"/>
                <w:iCs w:val="0"/>
                <w:color w:val="000000"/>
                <w:sz w:val="20"/>
                <w:szCs w:val="20"/>
                <w:u w:val="none"/>
              </w:rPr>
            </w:pPr>
          </w:p>
        </w:tc>
      </w:tr>
      <w:tr w14:paraId="718F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A9124B">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F5C4EC">
            <w:pPr>
              <w:jc w:val="center"/>
              <w:rPr>
                <w:rFonts w:hint="eastAsia" w:asciiTheme="minorEastAsia" w:hAnsiTheme="minorEastAsia" w:eastAsiaTheme="minorEastAsia" w:cstheme="minorEastAsia"/>
                <w:b/>
                <w:bCs/>
                <w:i w:val="0"/>
                <w:iCs w:val="0"/>
                <w:color w:val="000000"/>
                <w:sz w:val="20"/>
                <w:szCs w:val="20"/>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B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住院管理规范，住院病人在床率100%。不符合要求的不纳入。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1D4">
            <w:pPr>
              <w:jc w:val="both"/>
              <w:rPr>
                <w:rFonts w:hint="eastAsia" w:ascii="仿宋" w:hAnsi="仿宋" w:eastAsia="仿宋" w:cs="仿宋"/>
                <w:i w:val="0"/>
                <w:iCs w:val="0"/>
                <w:color w:val="000000"/>
                <w:sz w:val="20"/>
                <w:szCs w:val="20"/>
                <w:u w:val="none"/>
              </w:rPr>
            </w:pPr>
          </w:p>
        </w:tc>
      </w:tr>
      <w:tr w14:paraId="511C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14:paraId="78B9DFA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5</w:t>
            </w:r>
          </w:p>
        </w:tc>
        <w:tc>
          <w:tcPr>
            <w:tcW w:w="17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B5F82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社会保险</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52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按规定与所有工作人员签订劳动合同，缴纳社会保险；其中医师、护士、药学和医技等专业技术人员以及专（兼）职医保管理人员应签订劳动合同、连续足额缴纳社会保险3个月以上，返聘退休人员 、多点执业人员应提供劳务合同及不少于3个月的工资流水。不符合以上要求的不纳入。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7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1D68">
            <w:pPr>
              <w:jc w:val="both"/>
              <w:rPr>
                <w:rFonts w:hint="eastAsia" w:ascii="仿宋" w:hAnsi="仿宋" w:eastAsia="仿宋" w:cs="仿宋"/>
                <w:i w:val="0"/>
                <w:iCs w:val="0"/>
                <w:color w:val="000000"/>
                <w:sz w:val="20"/>
                <w:szCs w:val="20"/>
                <w:u w:val="none"/>
              </w:rPr>
            </w:pPr>
          </w:p>
        </w:tc>
      </w:tr>
      <w:tr w14:paraId="2EE4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3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A562E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 xml:space="preserve"> 诚信承诺及签字：</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F36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2"/>
                <w:szCs w:val="22"/>
                <w:u w:val="none"/>
              </w:rPr>
            </w:pPr>
          </w:p>
        </w:tc>
      </w:tr>
      <w:tr w14:paraId="38CD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5423" w:type="dxa"/>
            <w:gridSpan w:val="5"/>
            <w:tcBorders>
              <w:top w:val="nil"/>
              <w:left w:val="nil"/>
              <w:bottom w:val="nil"/>
              <w:right w:val="nil"/>
            </w:tcBorders>
            <w:shd w:val="clear" w:color="auto" w:fill="auto"/>
            <w:vAlign w:val="center"/>
          </w:tcPr>
          <w:p w14:paraId="2A4C1E93">
            <w:pPr>
              <w:keepNext w:val="0"/>
              <w:keepLines w:val="0"/>
              <w:pageBreakBefore w:val="0"/>
              <w:widowControl/>
              <w:suppressLineNumbers w:val="0"/>
              <w:kinsoku/>
              <w:wordWrap/>
              <w:overflowPunct/>
              <w:topLinePunct w:val="0"/>
              <w:autoSpaceDE/>
              <w:autoSpaceDN/>
              <w:bidi w:val="0"/>
              <w:adjustRightInd/>
              <w:snapToGrid/>
              <w:spacing w:before="159" w:beforeLines="50"/>
              <w:jc w:val="left"/>
              <w:textAlignment w:val="center"/>
              <w:rPr>
                <w:rFonts w:ascii="仿宋_GB2312" w:hAnsi="宋体" w:eastAsia="仿宋_GB2312" w:cs="仿宋_GB2312"/>
                <w:i w:val="0"/>
                <w:iCs w:val="0"/>
                <w:color w:val="000000"/>
                <w:sz w:val="20"/>
                <w:szCs w:val="20"/>
                <w:u w:val="none"/>
              </w:rPr>
            </w:pPr>
            <w:r>
              <w:rPr>
                <w:rFonts w:hint="default" w:ascii="Times New Roman" w:hAnsi="Times New Roman" w:cs="Times New Roman" w:eastAsiaTheme="minorEastAsia"/>
                <w:i w:val="0"/>
                <w:iCs w:val="0"/>
                <w:color w:val="000000"/>
                <w:kern w:val="0"/>
                <w:sz w:val="21"/>
                <w:szCs w:val="21"/>
                <w:u w:val="none"/>
                <w:lang w:val="en-US" w:eastAsia="zh-CN" w:bidi="ar"/>
              </w:rPr>
              <w:t>备注：1.评估记录</w:t>
            </w:r>
            <w:r>
              <w:rPr>
                <w:rFonts w:hint="eastAsia" w:ascii="Times New Roman" w:hAnsi="Times New Roman" w:cs="Times New Roman" w:eastAsiaTheme="minorEastAsia"/>
                <w:i w:val="0"/>
                <w:iCs w:val="0"/>
                <w:color w:val="000000"/>
                <w:kern w:val="0"/>
                <w:sz w:val="21"/>
                <w:szCs w:val="21"/>
                <w:u w:val="none"/>
                <w:lang w:val="en-US" w:eastAsia="zh-CN" w:bidi="ar"/>
              </w:rPr>
              <w:t>栏</w:t>
            </w:r>
            <w:r>
              <w:rPr>
                <w:rFonts w:hint="default" w:ascii="Times New Roman" w:hAnsi="Times New Roman" w:cs="Times New Roman" w:eastAsiaTheme="minorEastAsia"/>
                <w:i w:val="0"/>
                <w:iCs w:val="0"/>
                <w:color w:val="000000"/>
                <w:kern w:val="0"/>
                <w:sz w:val="21"/>
                <w:szCs w:val="21"/>
                <w:u w:val="none"/>
                <w:lang w:val="en-US" w:eastAsia="zh-CN" w:bidi="ar"/>
              </w:rPr>
              <w:t xml:space="preserve">填写是否符合要求；2.国家和省有新规定的从其新规。   </w:t>
            </w:r>
            <w:r>
              <w:rPr>
                <w:rFonts w:hint="default" w:ascii="Times New Roman" w:hAnsi="Times New Roman" w:cs="Times New Roman" w:eastAsiaTheme="minorEastAsia"/>
                <w:i w:val="0"/>
                <w:iCs w:val="0"/>
                <w:color w:val="000000"/>
                <w:kern w:val="0"/>
                <w:sz w:val="20"/>
                <w:szCs w:val="20"/>
                <w:u w:val="none"/>
                <w:lang w:val="en-US" w:eastAsia="zh-CN" w:bidi="ar"/>
              </w:rPr>
              <w:t xml:space="preserve">                                </w:t>
            </w:r>
            <w:r>
              <w:rPr>
                <w:rFonts w:hint="eastAsia" w:ascii="Times New Roman" w:hAnsi="Times New Roman" w:cs="Times New Roman" w:eastAsiaTheme="minorEastAsia"/>
                <w:i w:val="0"/>
                <w:iCs w:val="0"/>
                <w:color w:val="000000"/>
                <w:kern w:val="0"/>
                <w:sz w:val="20"/>
                <w:szCs w:val="20"/>
                <w:u w:val="none"/>
                <w:lang w:val="en-US" w:eastAsia="zh-CN" w:bidi="ar"/>
              </w:rPr>
              <w:t xml:space="preserve">         </w:t>
            </w:r>
            <w:r>
              <w:rPr>
                <w:rFonts w:hint="default" w:ascii="Times New Roman" w:hAnsi="Times New Roman" w:cs="Times New Roman" w:eastAsiaTheme="minorEastAsia"/>
                <w:i w:val="0"/>
                <w:iCs w:val="0"/>
                <w:color w:val="000000"/>
                <w:kern w:val="0"/>
                <w:sz w:val="20"/>
                <w:szCs w:val="20"/>
                <w:u w:val="none"/>
                <w:lang w:val="en-US" w:eastAsia="zh-CN" w:bidi="ar"/>
              </w:rPr>
              <w:t xml:space="preserve"> </w:t>
            </w:r>
            <w:r>
              <w:rPr>
                <w:rFonts w:hint="eastAsia" w:ascii="Times New Roman" w:hAnsi="Times New Roman" w:cs="Times New Roman" w:eastAsiaTheme="minorEastAsia"/>
                <w:i w:val="0"/>
                <w:iCs w:val="0"/>
                <w:color w:val="000000"/>
                <w:kern w:val="0"/>
                <w:sz w:val="20"/>
                <w:szCs w:val="20"/>
                <w:u w:val="none"/>
                <w:lang w:val="en-US" w:eastAsia="zh-CN" w:bidi="ar"/>
              </w:rPr>
              <w:t xml:space="preserve"> </w:t>
            </w:r>
            <w:r>
              <w:rPr>
                <w:rFonts w:hint="default" w:ascii="Times New Roman" w:hAnsi="Times New Roman" w:cs="Times New Roman" w:eastAsiaTheme="minorEastAsia"/>
                <w:i w:val="0"/>
                <w:iCs w:val="0"/>
                <w:color w:val="000000"/>
                <w:kern w:val="0"/>
                <w:sz w:val="20"/>
                <w:szCs w:val="20"/>
                <w:u w:val="none"/>
                <w:lang w:val="en-US" w:eastAsia="zh-CN" w:bidi="ar"/>
              </w:rPr>
              <w:t xml:space="preserve"> 评估人员签字：</w:t>
            </w:r>
          </w:p>
        </w:tc>
      </w:tr>
    </w:tbl>
    <w:p w14:paraId="1B94A690">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4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99"/>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2025-10-10T09:46:40Z</dcterms:created>
  <dc:creator>lenovo</dc:creator>
  <cp:lastModifiedBy>lenovo</cp:lastModifiedBy>
  <dcterms:modified xsi:type="dcterms:W3CDTF">2025-10-10T09:47:32Z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D91F3BCDCF034B3C9DEC401A8D8A678A_12</vt:lpwstr>
  </property>
</Properties>
</file>