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4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1762"/>
        <w:gridCol w:w="8250"/>
        <w:gridCol w:w="2287"/>
        <w:gridCol w:w="1588"/>
      </w:tblGrid>
      <w:tr w14:paraId="3E2D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36" w:type="dxa"/>
            <w:tcBorders>
              <w:top w:val="nil"/>
              <w:left w:val="nil"/>
              <w:bottom w:val="nil"/>
              <w:right w:val="nil"/>
            </w:tcBorders>
            <w:shd w:val="clear" w:color="auto" w:fill="auto"/>
            <w:noWrap/>
            <w:vAlign w:val="center"/>
          </w:tcPr>
          <w:p w14:paraId="475CAFF8">
            <w:pPr>
              <w:keepNext w:val="0"/>
              <w:keepLines w:val="0"/>
              <w:widowControl/>
              <w:suppressLineNumbers w:val="0"/>
              <w:ind w:firstLine="320" w:firstLineChars="100"/>
              <w:jc w:val="left"/>
              <w:textAlignment w:val="center"/>
              <w:rPr>
                <w:rFonts w:hint="default" w:ascii="宋体" w:hAnsi="宋体" w:eastAsia="宋体" w:cs="宋体"/>
                <w:i w:val="0"/>
                <w:iCs w:val="0"/>
                <w:color w:val="000000"/>
                <w:sz w:val="22"/>
                <w:szCs w:val="22"/>
                <w:u w:val="none"/>
                <w:lang w:val="en-US"/>
              </w:rPr>
            </w:pPr>
            <w:r>
              <w:rPr>
                <w:rFonts w:hint="eastAsia" w:ascii="黑体" w:hAnsi="黑体" w:eastAsia="黑体" w:cs="黑体"/>
                <w:i w:val="0"/>
                <w:iCs w:val="0"/>
                <w:color w:val="000000"/>
                <w:kern w:val="0"/>
                <w:sz w:val="32"/>
                <w:szCs w:val="32"/>
                <w:u w:val="none"/>
                <w:lang w:val="en-US" w:eastAsia="zh-CN" w:bidi="ar"/>
              </w:rPr>
              <w:t>附件1</w:t>
            </w:r>
          </w:p>
        </w:tc>
        <w:tc>
          <w:tcPr>
            <w:tcW w:w="1762" w:type="dxa"/>
            <w:tcBorders>
              <w:top w:val="nil"/>
              <w:left w:val="nil"/>
              <w:bottom w:val="nil"/>
              <w:right w:val="nil"/>
            </w:tcBorders>
            <w:shd w:val="clear" w:color="auto" w:fill="auto"/>
            <w:noWrap/>
            <w:vAlign w:val="center"/>
          </w:tcPr>
          <w:p w14:paraId="3C53631F">
            <w:pPr>
              <w:rPr>
                <w:rFonts w:hint="eastAsia" w:ascii="宋体" w:hAnsi="宋体" w:eastAsia="宋体" w:cs="宋体"/>
                <w:i w:val="0"/>
                <w:iCs w:val="0"/>
                <w:color w:val="000000"/>
                <w:sz w:val="22"/>
                <w:szCs w:val="22"/>
                <w:u w:val="none"/>
              </w:rPr>
            </w:pPr>
          </w:p>
        </w:tc>
        <w:tc>
          <w:tcPr>
            <w:tcW w:w="8250" w:type="dxa"/>
            <w:tcBorders>
              <w:top w:val="nil"/>
              <w:left w:val="nil"/>
              <w:bottom w:val="nil"/>
              <w:right w:val="nil"/>
            </w:tcBorders>
            <w:shd w:val="clear" w:color="auto" w:fill="auto"/>
            <w:noWrap/>
            <w:vAlign w:val="center"/>
          </w:tcPr>
          <w:p w14:paraId="0E2B601B">
            <w:pPr>
              <w:rPr>
                <w:rFonts w:hint="eastAsia" w:ascii="宋体" w:hAnsi="宋体" w:eastAsia="宋体" w:cs="宋体"/>
                <w:i w:val="0"/>
                <w:iCs w:val="0"/>
                <w:color w:val="000000"/>
                <w:sz w:val="22"/>
                <w:szCs w:val="22"/>
                <w:u w:val="none"/>
              </w:rPr>
            </w:pPr>
          </w:p>
        </w:tc>
        <w:tc>
          <w:tcPr>
            <w:tcW w:w="2287" w:type="dxa"/>
            <w:tcBorders>
              <w:top w:val="nil"/>
              <w:left w:val="nil"/>
              <w:bottom w:val="nil"/>
              <w:right w:val="nil"/>
            </w:tcBorders>
            <w:shd w:val="clear" w:color="auto" w:fill="auto"/>
            <w:noWrap/>
            <w:vAlign w:val="center"/>
          </w:tcPr>
          <w:p w14:paraId="7D47D103">
            <w:pPr>
              <w:rPr>
                <w:rFonts w:hint="eastAsia" w:ascii="宋体" w:hAnsi="宋体" w:eastAsia="宋体" w:cs="宋体"/>
                <w:i w:val="0"/>
                <w:iCs w:val="0"/>
                <w:color w:val="000000"/>
                <w:sz w:val="22"/>
                <w:szCs w:val="22"/>
                <w:u w:val="none"/>
              </w:rPr>
            </w:pPr>
          </w:p>
        </w:tc>
        <w:tc>
          <w:tcPr>
            <w:tcW w:w="1588" w:type="dxa"/>
            <w:tcBorders>
              <w:top w:val="nil"/>
              <w:left w:val="nil"/>
              <w:bottom w:val="nil"/>
              <w:right w:val="nil"/>
            </w:tcBorders>
            <w:shd w:val="clear" w:color="auto" w:fill="auto"/>
            <w:noWrap/>
            <w:vAlign w:val="center"/>
          </w:tcPr>
          <w:p w14:paraId="40E22894">
            <w:pPr>
              <w:rPr>
                <w:rFonts w:hint="eastAsia" w:ascii="宋体" w:hAnsi="宋体" w:eastAsia="宋体" w:cs="宋体"/>
                <w:i w:val="0"/>
                <w:iCs w:val="0"/>
                <w:color w:val="000000"/>
                <w:sz w:val="22"/>
                <w:szCs w:val="22"/>
                <w:u w:val="none"/>
              </w:rPr>
            </w:pPr>
          </w:p>
        </w:tc>
      </w:tr>
      <w:tr w14:paraId="7156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5423" w:type="dxa"/>
            <w:gridSpan w:val="5"/>
            <w:tcBorders>
              <w:top w:val="nil"/>
              <w:left w:val="nil"/>
              <w:bottom w:val="nil"/>
              <w:right w:val="nil"/>
            </w:tcBorders>
            <w:shd w:val="clear" w:color="auto" w:fill="auto"/>
            <w:vAlign w:val="center"/>
          </w:tcPr>
          <w:p w14:paraId="453E7E1A">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省直基本医疗保险门诊统筹支付医疗机构评估标准表</w:t>
            </w:r>
          </w:p>
        </w:tc>
      </w:tr>
      <w:tr w14:paraId="2647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423" w:type="dxa"/>
            <w:gridSpan w:val="5"/>
            <w:tcBorders>
              <w:top w:val="nil"/>
              <w:left w:val="nil"/>
              <w:bottom w:val="nil"/>
              <w:right w:val="nil"/>
            </w:tcBorders>
            <w:shd w:val="clear" w:color="auto" w:fill="auto"/>
            <w:vAlign w:val="center"/>
          </w:tcPr>
          <w:p w14:paraId="758289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医疗机构名称： （加盖公章）                                                                                             评估日期：       年    月    日</w:t>
            </w:r>
          </w:p>
        </w:tc>
      </w:tr>
      <w:tr w14:paraId="4D3D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160B">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序号</w:t>
            </w:r>
          </w:p>
        </w:tc>
        <w:tc>
          <w:tcPr>
            <w:tcW w:w="10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FD21E">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项目要求</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E318">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评估方法</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3F7D">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评估记录</w:t>
            </w:r>
          </w:p>
        </w:tc>
      </w:tr>
      <w:tr w14:paraId="2B34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0E256">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1</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A52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基本条件</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A9FC">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000000"/>
                <w:sz w:val="21"/>
                <w:szCs w:val="21"/>
                <w:u w:val="none"/>
              </w:rPr>
            </w:pPr>
            <w:r>
              <w:rPr>
                <w:rStyle w:val="6"/>
                <w:rFonts w:hint="eastAsia" w:asciiTheme="minorEastAsia" w:hAnsiTheme="minorEastAsia" w:eastAsiaTheme="minorEastAsia" w:cstheme="minorEastAsia"/>
                <w:sz w:val="21"/>
                <w:szCs w:val="21"/>
                <w:lang w:val="en-US" w:eastAsia="zh-CN" w:bidi="ar"/>
              </w:rPr>
              <w:t>《</w:t>
            </w:r>
            <w:r>
              <w:rPr>
                <w:rStyle w:val="7"/>
                <w:rFonts w:hint="eastAsia" w:asciiTheme="minorEastAsia" w:hAnsiTheme="minorEastAsia" w:eastAsiaTheme="minorEastAsia" w:cstheme="minorEastAsia"/>
                <w:sz w:val="21"/>
                <w:szCs w:val="21"/>
                <w:lang w:val="en-US" w:eastAsia="zh-CN" w:bidi="ar"/>
              </w:rPr>
              <w:t>医疗机构执业许可证》等证照齐全，并在有效期内，证照注册地址与实际一致。按照卫生部门核准的诊疗科目执业，设备及服务设施符合卫生部门规定的标准，不符合相关要求、主营业务不属于基本医保支付范围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93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FB87">
            <w:pPr>
              <w:jc w:val="both"/>
              <w:rPr>
                <w:rFonts w:hint="eastAsia" w:asciiTheme="minorEastAsia" w:hAnsiTheme="minorEastAsia" w:eastAsiaTheme="minorEastAsia" w:cstheme="minorEastAsia"/>
                <w:i w:val="0"/>
                <w:iCs w:val="0"/>
                <w:color w:val="000000"/>
                <w:sz w:val="21"/>
                <w:szCs w:val="21"/>
                <w:u w:val="none"/>
              </w:rPr>
            </w:pPr>
          </w:p>
        </w:tc>
      </w:tr>
      <w:tr w14:paraId="187A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500DC">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08A2F">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5E5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无对外出租、承包科室。不符合要求的不纳入。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3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A651">
            <w:pPr>
              <w:jc w:val="both"/>
              <w:rPr>
                <w:rFonts w:hint="eastAsia" w:asciiTheme="minorEastAsia" w:hAnsiTheme="minorEastAsia" w:eastAsiaTheme="minorEastAsia" w:cstheme="minorEastAsia"/>
                <w:i w:val="0"/>
                <w:iCs w:val="0"/>
                <w:color w:val="000000"/>
                <w:sz w:val="21"/>
                <w:szCs w:val="21"/>
                <w:u w:val="none"/>
              </w:rPr>
            </w:pPr>
          </w:p>
        </w:tc>
      </w:tr>
      <w:tr w14:paraId="1D58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B88D5">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CB2E">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19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营业时间满3个月以上，经属地医保部门政策培训6个月，且培训期间无违反协议及医保政策规定，无违规违纪。不符合要求的不纳入。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C7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E2B4">
            <w:pPr>
              <w:jc w:val="both"/>
              <w:rPr>
                <w:rFonts w:hint="eastAsia" w:asciiTheme="minorEastAsia" w:hAnsiTheme="minorEastAsia" w:eastAsiaTheme="minorEastAsia" w:cstheme="minorEastAsia"/>
                <w:i w:val="0"/>
                <w:iCs w:val="0"/>
                <w:color w:val="000000"/>
                <w:sz w:val="21"/>
                <w:szCs w:val="21"/>
                <w:u w:val="none"/>
              </w:rPr>
            </w:pPr>
          </w:p>
        </w:tc>
      </w:tr>
      <w:tr w14:paraId="225F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FE04F">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2</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899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信息系统</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24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信息系统数据准确，数据保存不少于6个月，有专兼职技术人员负责系统信息维护工作。不符合要求不纳入。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B6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148F">
            <w:pPr>
              <w:jc w:val="both"/>
              <w:rPr>
                <w:rFonts w:hint="eastAsia" w:asciiTheme="minorEastAsia" w:hAnsiTheme="minorEastAsia" w:eastAsiaTheme="minorEastAsia" w:cstheme="minorEastAsia"/>
                <w:i w:val="0"/>
                <w:iCs w:val="0"/>
                <w:color w:val="000000"/>
                <w:sz w:val="21"/>
                <w:szCs w:val="21"/>
                <w:u w:val="none"/>
              </w:rPr>
            </w:pPr>
          </w:p>
        </w:tc>
      </w:tr>
      <w:tr w14:paraId="7BDC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700B9">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EBEB">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340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按照医保部门要求药品耗材追溯码实现“应采尽采、依码结算、依码支付”。不符合要求不纳入。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0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233">
            <w:pPr>
              <w:jc w:val="both"/>
              <w:rPr>
                <w:rFonts w:hint="eastAsia" w:asciiTheme="minorEastAsia" w:hAnsiTheme="minorEastAsia" w:eastAsiaTheme="minorEastAsia" w:cstheme="minorEastAsia"/>
                <w:i w:val="0"/>
                <w:iCs w:val="0"/>
                <w:color w:val="000000"/>
                <w:sz w:val="21"/>
                <w:szCs w:val="21"/>
                <w:u w:val="none"/>
              </w:rPr>
            </w:pPr>
          </w:p>
        </w:tc>
      </w:tr>
      <w:tr w14:paraId="032A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8C096">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5FA8A">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876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信息系统能够满足省直医保结算、查询等功能需求。不符合要求的不纳入。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8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51A2">
            <w:pPr>
              <w:jc w:val="both"/>
              <w:rPr>
                <w:rFonts w:hint="eastAsia" w:asciiTheme="minorEastAsia" w:hAnsiTheme="minorEastAsia" w:eastAsiaTheme="minorEastAsia" w:cstheme="minorEastAsia"/>
                <w:i w:val="0"/>
                <w:iCs w:val="0"/>
                <w:color w:val="000000"/>
                <w:sz w:val="21"/>
                <w:szCs w:val="21"/>
                <w:u w:val="none"/>
              </w:rPr>
            </w:pPr>
          </w:p>
        </w:tc>
      </w:tr>
      <w:tr w14:paraId="1673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D09E4">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8147">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3E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按照医保部门要求，有关就诊、检查、检验、影像等信息承诺通过全国统一的医保信息平台上传。不承诺的不纳入。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0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查看资料，现场核实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B66B">
            <w:pPr>
              <w:jc w:val="both"/>
              <w:rPr>
                <w:rFonts w:hint="eastAsia" w:asciiTheme="minorEastAsia" w:hAnsiTheme="minorEastAsia" w:eastAsiaTheme="minorEastAsia" w:cstheme="minorEastAsia"/>
                <w:i w:val="0"/>
                <w:iCs w:val="0"/>
                <w:color w:val="000000"/>
                <w:sz w:val="21"/>
                <w:szCs w:val="21"/>
                <w:u w:val="none"/>
              </w:rPr>
            </w:pPr>
          </w:p>
        </w:tc>
      </w:tr>
      <w:tr w14:paraId="7814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536" w:type="dxa"/>
            <w:vMerge w:val="restart"/>
            <w:tcBorders>
              <w:top w:val="nil"/>
              <w:left w:val="single" w:color="000000" w:sz="4" w:space="0"/>
              <w:bottom w:val="single" w:color="auto" w:sz="4" w:space="0"/>
              <w:right w:val="single" w:color="000000" w:sz="4" w:space="0"/>
            </w:tcBorders>
            <w:shd w:val="clear" w:color="auto" w:fill="auto"/>
            <w:vAlign w:val="center"/>
          </w:tcPr>
          <w:p w14:paraId="23AA3EC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bCs/>
                <w:i w:val="0"/>
                <w:iCs w:val="0"/>
                <w:color w:val="000000"/>
                <w:kern w:val="0"/>
                <w:sz w:val="22"/>
                <w:szCs w:val="22"/>
                <w:u w:val="none"/>
                <w:lang w:val="en-US" w:eastAsia="zh-CN" w:bidi="ar"/>
              </w:rPr>
            </w:pPr>
          </w:p>
          <w:p w14:paraId="6408A7E4">
            <w:pPr>
              <w:pStyle w:val="2"/>
              <w:keepNext w:val="0"/>
              <w:keepLines w:val="0"/>
              <w:pageBreakBefore w:val="0"/>
              <w:widowControl w:val="0"/>
              <w:kinsoku/>
              <w:wordWrap/>
              <w:overflowPunct/>
              <w:topLinePunct w:val="0"/>
              <w:autoSpaceDE/>
              <w:autoSpaceDN/>
              <w:bidi w:val="0"/>
              <w:adjustRightInd/>
              <w:snapToGrid/>
              <w:spacing w:line="150" w:lineRule="exact"/>
              <w:textAlignment w:val="auto"/>
              <w:rPr>
                <w:rFonts w:hint="default"/>
                <w:lang w:val="en-US" w:eastAsia="zh-CN"/>
              </w:rPr>
            </w:pPr>
          </w:p>
          <w:p w14:paraId="677DA48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3</w:t>
            </w:r>
          </w:p>
          <w:p w14:paraId="3007F049">
            <w:pPr>
              <w:pStyle w:val="2"/>
              <w:rPr>
                <w:rFonts w:hint="default" w:ascii="Times New Roman" w:hAnsi="Times New Roman" w:eastAsia="仿宋" w:cs="Times New Roman"/>
                <w:b/>
                <w:bCs/>
                <w:i w:val="0"/>
                <w:iCs w:val="0"/>
                <w:color w:val="000000"/>
                <w:kern w:val="0"/>
                <w:sz w:val="22"/>
                <w:szCs w:val="22"/>
                <w:u w:val="none"/>
                <w:lang w:val="en-US" w:eastAsia="zh-CN" w:bidi="ar"/>
              </w:rPr>
            </w:pPr>
          </w:p>
          <w:p w14:paraId="07D99B78">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p>
          <w:p w14:paraId="5571AB76">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p>
          <w:p w14:paraId="2E8A4729">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p>
          <w:p w14:paraId="6E8FFF39">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3</w:t>
            </w:r>
          </w:p>
          <w:p w14:paraId="44E5AE60">
            <w:pPr>
              <w:rPr>
                <w:rFonts w:hint="default" w:ascii="Times New Roman" w:hAnsi="Times New Roman" w:eastAsia="仿宋" w:cs="Times New Roman"/>
                <w:b/>
                <w:bCs/>
                <w:i w:val="0"/>
                <w:iCs w:val="0"/>
                <w:color w:val="000000"/>
                <w:kern w:val="0"/>
                <w:sz w:val="22"/>
                <w:szCs w:val="22"/>
                <w:u w:val="none"/>
                <w:lang w:val="en-US" w:eastAsia="zh-CN" w:bidi="ar"/>
              </w:rPr>
            </w:pPr>
          </w:p>
          <w:p w14:paraId="7A545B6D">
            <w:pPr>
              <w:rPr>
                <w:rFonts w:hint="default"/>
              </w:rPr>
            </w:pPr>
          </w:p>
        </w:tc>
        <w:tc>
          <w:tcPr>
            <w:tcW w:w="1762" w:type="dxa"/>
            <w:vMerge w:val="restart"/>
            <w:tcBorders>
              <w:top w:val="nil"/>
              <w:left w:val="single" w:color="000000" w:sz="4" w:space="0"/>
              <w:bottom w:val="single" w:color="auto" w:sz="4" w:space="0"/>
              <w:right w:val="single" w:color="000000" w:sz="4" w:space="0"/>
            </w:tcBorders>
            <w:shd w:val="clear" w:color="auto" w:fill="auto"/>
            <w:vAlign w:val="center"/>
          </w:tcPr>
          <w:p w14:paraId="3EB4A8C8">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p>
          <w:p w14:paraId="326400B0">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spacing w:val="125"/>
                <w:kern w:val="0"/>
                <w:sz w:val="21"/>
                <w:szCs w:val="21"/>
                <w:u w:val="none"/>
                <w:lang w:val="en-US" w:eastAsia="zh-CN" w:bidi="ar"/>
              </w:rPr>
              <w:t xml:space="preserve"> </w:t>
            </w:r>
            <w:r>
              <w:rPr>
                <w:rFonts w:hint="eastAsia" w:asciiTheme="minorEastAsia" w:hAnsiTheme="minorEastAsia" w:eastAsiaTheme="minorEastAsia" w:cstheme="minorEastAsia"/>
                <w:b/>
                <w:bCs/>
                <w:i w:val="0"/>
                <w:iCs w:val="0"/>
                <w:color w:val="000000"/>
                <w:kern w:val="0"/>
                <w:sz w:val="21"/>
                <w:szCs w:val="21"/>
                <w:u w:val="none"/>
                <w:lang w:val="en-US" w:eastAsia="zh-CN" w:bidi="ar"/>
              </w:rPr>
              <w:t>服务能力</w:t>
            </w:r>
          </w:p>
          <w:p w14:paraId="5A9CB82F">
            <w:pPr>
              <w:pStyle w:val="2"/>
              <w:rPr>
                <w:rFonts w:hint="default"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 xml:space="preserve"> </w:t>
            </w:r>
          </w:p>
          <w:p w14:paraId="5DE6C74E">
            <w:pPr>
              <w:rPr>
                <w:rFonts w:hint="eastAsia" w:asciiTheme="minorEastAsia" w:hAnsiTheme="minorEastAsia" w:eastAsiaTheme="minorEastAsia" w:cstheme="minorEastAsia"/>
                <w:b/>
                <w:bCs/>
                <w:i w:val="0"/>
                <w:iCs w:val="0"/>
                <w:color w:val="000000"/>
                <w:kern w:val="0"/>
                <w:sz w:val="21"/>
                <w:szCs w:val="21"/>
                <w:u w:val="none"/>
                <w:lang w:val="en-US" w:eastAsia="zh-CN" w:bidi="ar"/>
              </w:rPr>
            </w:pPr>
          </w:p>
          <w:p w14:paraId="38A4A527">
            <w:pPr>
              <w:pStyle w:val="2"/>
              <w:rPr>
                <w:rFonts w:hint="eastAsia" w:asciiTheme="minorEastAsia" w:hAnsiTheme="minorEastAsia" w:eastAsiaTheme="minorEastAsia" w:cstheme="minorEastAsia"/>
                <w:b/>
                <w:bCs/>
                <w:i w:val="0"/>
                <w:iCs w:val="0"/>
                <w:color w:val="000000"/>
                <w:kern w:val="0"/>
                <w:sz w:val="21"/>
                <w:szCs w:val="21"/>
                <w:u w:val="none"/>
                <w:lang w:val="en-US" w:eastAsia="zh-CN" w:bidi="ar"/>
              </w:rPr>
            </w:pPr>
          </w:p>
          <w:p w14:paraId="2F1D162A">
            <w:pPr>
              <w:rPr>
                <w:rFonts w:hint="eastAsia" w:asciiTheme="minorEastAsia" w:hAnsiTheme="minorEastAsia" w:eastAsiaTheme="minorEastAsia" w:cstheme="minorEastAsia"/>
                <w:b/>
                <w:bCs/>
                <w:i w:val="0"/>
                <w:iCs w:val="0"/>
                <w:color w:val="000000"/>
                <w:kern w:val="0"/>
                <w:sz w:val="21"/>
                <w:szCs w:val="21"/>
                <w:u w:val="none"/>
                <w:lang w:val="en-US" w:eastAsia="zh-CN" w:bidi="ar"/>
              </w:rPr>
            </w:pPr>
          </w:p>
          <w:p w14:paraId="11710C73">
            <w:pPr>
              <w:keepNext w:val="0"/>
              <w:keepLines w:val="0"/>
              <w:widowControl/>
              <w:suppressLineNumbers w:val="0"/>
              <w:ind w:firstLine="422" w:firstLineChars="200"/>
              <w:jc w:val="both"/>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服务能力</w:t>
            </w:r>
          </w:p>
          <w:p w14:paraId="217E9C59">
            <w:pPr>
              <w:rPr>
                <w:rFonts w:hint="eastAsia" w:asciiTheme="minorEastAsia" w:hAnsiTheme="minorEastAsia" w:eastAsiaTheme="minorEastAsia" w:cstheme="minorEastAsia"/>
                <w:b/>
                <w:bCs/>
                <w:i w:val="0"/>
                <w:iCs w:val="0"/>
                <w:color w:val="000000"/>
                <w:kern w:val="0"/>
                <w:sz w:val="21"/>
                <w:szCs w:val="21"/>
                <w:u w:val="none"/>
                <w:lang w:val="en-US" w:eastAsia="zh-CN" w:bidi="ar"/>
              </w:rPr>
            </w:pPr>
          </w:p>
          <w:p w14:paraId="64D4F439">
            <w:pPr>
              <w:rPr>
                <w:rFonts w:hint="eastAsia"/>
              </w:rPr>
            </w:pPr>
          </w:p>
        </w:tc>
        <w:tc>
          <w:tcPr>
            <w:tcW w:w="82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FF1D4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注册该医疗机构的卫生技术人员达到基本标准配置数量，且专业技术人员具备相应岗位的任职资格，不得超范围执业。不符合要求的不纳入。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9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1CD8">
            <w:pPr>
              <w:jc w:val="both"/>
              <w:rPr>
                <w:rFonts w:hint="eastAsia" w:asciiTheme="minorEastAsia" w:hAnsiTheme="minorEastAsia" w:eastAsiaTheme="minorEastAsia" w:cstheme="minorEastAsia"/>
                <w:i w:val="0"/>
                <w:iCs w:val="0"/>
                <w:color w:val="000000"/>
                <w:sz w:val="21"/>
                <w:szCs w:val="21"/>
                <w:u w:val="none"/>
              </w:rPr>
            </w:pPr>
          </w:p>
        </w:tc>
      </w:tr>
      <w:tr w14:paraId="74F4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7518DF0">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98B2E1">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1A313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科室设置符合基本标准；目录内药品占80%以上；医疗业务用房面积、床位数、仪器设备等持续符合基本标准。不符合要求的不纳入。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A3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D269">
            <w:pPr>
              <w:jc w:val="both"/>
              <w:rPr>
                <w:rFonts w:hint="eastAsia" w:asciiTheme="minorEastAsia" w:hAnsiTheme="minorEastAsia" w:eastAsiaTheme="minorEastAsia" w:cstheme="minorEastAsia"/>
                <w:i w:val="0"/>
                <w:iCs w:val="0"/>
                <w:color w:val="000000"/>
                <w:sz w:val="21"/>
                <w:szCs w:val="21"/>
                <w:u w:val="none"/>
              </w:rPr>
            </w:pPr>
          </w:p>
        </w:tc>
      </w:tr>
      <w:tr w14:paraId="0EC3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B712A3">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E9C576">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9E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严禁医务、医技人员在医疗机构内“挂证”，由他人代为开展诊疗服务。不符合要求的不纳入。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A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0586">
            <w:pPr>
              <w:jc w:val="both"/>
              <w:rPr>
                <w:rFonts w:hint="eastAsia" w:asciiTheme="minorEastAsia" w:hAnsiTheme="minorEastAsia" w:eastAsiaTheme="minorEastAsia" w:cstheme="minorEastAsia"/>
                <w:i w:val="0"/>
                <w:iCs w:val="0"/>
                <w:color w:val="000000"/>
                <w:sz w:val="21"/>
                <w:szCs w:val="21"/>
                <w:u w:val="none"/>
              </w:rPr>
            </w:pPr>
          </w:p>
        </w:tc>
      </w:tr>
      <w:tr w14:paraId="0E616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AB931A2">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314DC21">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0B3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开展检查检验服务的至少有1名固定的具有相应资质的医技人员。不符合要求的不纳入。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C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CBFA">
            <w:pPr>
              <w:jc w:val="both"/>
              <w:rPr>
                <w:rFonts w:hint="eastAsia" w:asciiTheme="minorEastAsia" w:hAnsiTheme="minorEastAsia" w:eastAsiaTheme="minorEastAsia" w:cstheme="minorEastAsia"/>
                <w:i w:val="0"/>
                <w:iCs w:val="0"/>
                <w:color w:val="000000"/>
                <w:sz w:val="21"/>
                <w:szCs w:val="21"/>
                <w:u w:val="none"/>
              </w:rPr>
            </w:pPr>
          </w:p>
        </w:tc>
      </w:tr>
      <w:tr w14:paraId="43B9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8D175D">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1363C0">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0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按照医保部门要求实现医保支付资格相关人员信息维护上传，并全员承诺。不符合要求的不纳入。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2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04D5">
            <w:pPr>
              <w:jc w:val="both"/>
              <w:rPr>
                <w:rFonts w:hint="eastAsia" w:asciiTheme="minorEastAsia" w:hAnsiTheme="minorEastAsia" w:eastAsiaTheme="minorEastAsia" w:cstheme="minorEastAsia"/>
                <w:i w:val="0"/>
                <w:iCs w:val="0"/>
                <w:color w:val="000000"/>
                <w:sz w:val="21"/>
                <w:szCs w:val="21"/>
                <w:u w:val="none"/>
              </w:rPr>
            </w:pPr>
          </w:p>
        </w:tc>
      </w:tr>
      <w:tr w14:paraId="263F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153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39BBC4A">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4</w:t>
            </w:r>
          </w:p>
        </w:tc>
        <w:tc>
          <w:tcPr>
            <w:tcW w:w="17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98ED0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内部管理</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714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建立医院规章制度和岗位责任制，落实医疗质量和医疗安全制度。不符合要求的不纳入。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1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26B1">
            <w:pPr>
              <w:jc w:val="both"/>
              <w:rPr>
                <w:rFonts w:hint="eastAsia" w:asciiTheme="minorEastAsia" w:hAnsiTheme="minorEastAsia" w:eastAsiaTheme="minorEastAsia" w:cstheme="minorEastAsia"/>
                <w:i w:val="0"/>
                <w:iCs w:val="0"/>
                <w:color w:val="000000"/>
                <w:sz w:val="21"/>
                <w:szCs w:val="21"/>
                <w:u w:val="none"/>
              </w:rPr>
            </w:pPr>
          </w:p>
        </w:tc>
      </w:tr>
      <w:tr w14:paraId="2F6AC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C5CBEA">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1F1410">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2F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病历书写准确、规范；诊疗记录、医嘱等与病情及费用明细吻合。不符合要求的不纳入。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E6FC">
            <w:pPr>
              <w:jc w:val="both"/>
              <w:rPr>
                <w:rFonts w:hint="eastAsia" w:asciiTheme="minorEastAsia" w:hAnsiTheme="minorEastAsia" w:eastAsiaTheme="minorEastAsia" w:cstheme="minorEastAsia"/>
                <w:i w:val="0"/>
                <w:iCs w:val="0"/>
                <w:color w:val="000000"/>
                <w:sz w:val="21"/>
                <w:szCs w:val="21"/>
                <w:u w:val="none"/>
              </w:rPr>
            </w:pPr>
          </w:p>
        </w:tc>
      </w:tr>
      <w:tr w14:paraId="41BB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79E1ED3">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44488E">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FF1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药品、医用材料供应商的相关资质、合格证明文件等材料齐全，确保购入渠道正规，保证质量。不符合要求的不纳入。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3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8491">
            <w:pPr>
              <w:jc w:val="both"/>
              <w:rPr>
                <w:rFonts w:hint="eastAsia" w:asciiTheme="minorEastAsia" w:hAnsiTheme="minorEastAsia" w:eastAsiaTheme="minorEastAsia" w:cstheme="minorEastAsia"/>
                <w:i w:val="0"/>
                <w:iCs w:val="0"/>
                <w:color w:val="000000"/>
                <w:sz w:val="21"/>
                <w:szCs w:val="21"/>
                <w:u w:val="none"/>
              </w:rPr>
            </w:pPr>
          </w:p>
        </w:tc>
      </w:tr>
      <w:tr w14:paraId="54AC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11F069">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F9B7CCA">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9E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严格执行处方管理规定，加强处方规范化管理。不符合要求的不纳入。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3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181">
            <w:pPr>
              <w:jc w:val="both"/>
              <w:rPr>
                <w:rFonts w:hint="eastAsia" w:asciiTheme="minorEastAsia" w:hAnsiTheme="minorEastAsia" w:eastAsiaTheme="minorEastAsia" w:cstheme="minorEastAsia"/>
                <w:i w:val="0"/>
                <w:iCs w:val="0"/>
                <w:color w:val="000000"/>
                <w:sz w:val="21"/>
                <w:szCs w:val="21"/>
                <w:u w:val="none"/>
              </w:rPr>
            </w:pPr>
          </w:p>
        </w:tc>
      </w:tr>
      <w:tr w14:paraId="6861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9A10BA">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362978">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8A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立医疗机构提供的基本医疗服务统一执行政府指导价。非公立医疗机构应承诺执行与同级公立医疗机构相同的医疗服务价格项目和价格水平，并按照公平合理、诚实信用、质价相符的原则确定所提供的药品、医用耗材价格，应承诺不得高于同统筹地区公立医疗机构价格水平，提供未在医药采购平台挂网的药品和医用耗材的，应承诺不得明显高于同统筹地区其他医疗机构价格水平。不符合要求、不履行相关承诺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E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EC6C">
            <w:pPr>
              <w:jc w:val="both"/>
              <w:rPr>
                <w:rFonts w:hint="eastAsia" w:asciiTheme="minorEastAsia" w:hAnsiTheme="minorEastAsia" w:eastAsiaTheme="minorEastAsia" w:cstheme="minorEastAsia"/>
                <w:i w:val="0"/>
                <w:iCs w:val="0"/>
                <w:color w:val="000000"/>
                <w:sz w:val="21"/>
                <w:szCs w:val="21"/>
                <w:u w:val="none"/>
              </w:rPr>
            </w:pPr>
          </w:p>
        </w:tc>
      </w:tr>
      <w:tr w14:paraId="3BBE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153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266574">
            <w:pPr>
              <w:jc w:val="center"/>
              <w:rPr>
                <w:rFonts w:hint="default" w:ascii="Times New Roman" w:hAnsi="Times New Roman" w:eastAsia="仿宋" w:cs="Times New Roman"/>
                <w:b/>
                <w:bCs/>
                <w:i w:val="0"/>
                <w:iCs w:val="0"/>
                <w:color w:val="000000"/>
                <w:sz w:val="22"/>
                <w:szCs w:val="22"/>
                <w:u w:val="none"/>
              </w:rPr>
            </w:pPr>
          </w:p>
        </w:tc>
        <w:tc>
          <w:tcPr>
            <w:tcW w:w="17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FC01D8">
            <w:pPr>
              <w:jc w:val="center"/>
              <w:rPr>
                <w:rFonts w:hint="eastAsia" w:asciiTheme="minorEastAsia" w:hAnsiTheme="minorEastAsia" w:eastAsiaTheme="minorEastAsia" w:cstheme="minorEastAsia"/>
                <w:b/>
                <w:bCs/>
                <w:i w:val="0"/>
                <w:iCs w:val="0"/>
                <w:color w:val="000000"/>
                <w:sz w:val="21"/>
                <w:szCs w:val="21"/>
                <w:u w:val="none"/>
              </w:rPr>
            </w:pP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33E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财务制度健全，按要求配备专职会计人员。科目设置健全合理，凭证档案保存完整。账实相符。不符合要求的不纳入。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C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2381">
            <w:pPr>
              <w:jc w:val="both"/>
              <w:rPr>
                <w:rFonts w:hint="eastAsia" w:asciiTheme="minorEastAsia" w:hAnsiTheme="minorEastAsia" w:eastAsiaTheme="minorEastAsia" w:cstheme="minorEastAsia"/>
                <w:i w:val="0"/>
                <w:iCs w:val="0"/>
                <w:color w:val="000000"/>
                <w:sz w:val="21"/>
                <w:szCs w:val="21"/>
                <w:u w:val="none"/>
              </w:rPr>
            </w:pPr>
          </w:p>
        </w:tc>
      </w:tr>
      <w:tr w14:paraId="6800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36" w:type="dxa"/>
            <w:tcBorders>
              <w:top w:val="single" w:color="auto" w:sz="4" w:space="0"/>
              <w:left w:val="single" w:color="000000" w:sz="4" w:space="0"/>
              <w:bottom w:val="single" w:color="000000" w:sz="4" w:space="0"/>
              <w:right w:val="single" w:color="000000" w:sz="4" w:space="0"/>
            </w:tcBorders>
            <w:shd w:val="clear" w:color="auto" w:fill="auto"/>
            <w:vAlign w:val="center"/>
          </w:tcPr>
          <w:p w14:paraId="2D68C03C">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2"/>
                <w:szCs w:val="22"/>
                <w:u w:val="none"/>
              </w:rPr>
            </w:pPr>
            <w:r>
              <w:rPr>
                <w:rFonts w:hint="default" w:ascii="Times New Roman" w:hAnsi="Times New Roman" w:eastAsia="仿宋" w:cs="Times New Roman"/>
                <w:b/>
                <w:bCs/>
                <w:i w:val="0"/>
                <w:iCs w:val="0"/>
                <w:color w:val="000000"/>
                <w:kern w:val="0"/>
                <w:sz w:val="22"/>
                <w:szCs w:val="22"/>
                <w:u w:val="none"/>
                <w:lang w:val="en-US" w:eastAsia="zh-CN" w:bidi="ar"/>
              </w:rPr>
              <w:t>5</w:t>
            </w:r>
          </w:p>
        </w:tc>
        <w:tc>
          <w:tcPr>
            <w:tcW w:w="1762" w:type="dxa"/>
            <w:tcBorders>
              <w:top w:val="single" w:color="auto" w:sz="4" w:space="0"/>
              <w:left w:val="single" w:color="000000" w:sz="4" w:space="0"/>
              <w:bottom w:val="single" w:color="000000" w:sz="4" w:space="0"/>
              <w:right w:val="single" w:color="000000" w:sz="4" w:space="0"/>
            </w:tcBorders>
            <w:shd w:val="clear" w:color="auto" w:fill="auto"/>
            <w:vAlign w:val="center"/>
          </w:tcPr>
          <w:p w14:paraId="329D48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社会保险</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DBB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规定与所有工作人员签订劳动合同，缴纳社会保险；其中医师、护士、药学和医技等专业技术人员以及专（兼）职医保管理人员应签订劳动合同、连续足额缴纳社会保险3个月以上，返聘退休人员、多点执业人员应提供劳务合同及不少于3个月的工资流水。不符合以上要求的不纳入。</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F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查看材料，现场核实</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3E0A">
            <w:pPr>
              <w:jc w:val="both"/>
              <w:rPr>
                <w:rFonts w:hint="eastAsia" w:asciiTheme="minorEastAsia" w:hAnsiTheme="minorEastAsia" w:eastAsiaTheme="minorEastAsia" w:cstheme="minorEastAsia"/>
                <w:i w:val="0"/>
                <w:iCs w:val="0"/>
                <w:color w:val="000000"/>
                <w:sz w:val="21"/>
                <w:szCs w:val="21"/>
                <w:u w:val="none"/>
              </w:rPr>
            </w:pPr>
          </w:p>
        </w:tc>
      </w:tr>
      <w:tr w14:paraId="11119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423" w:type="dxa"/>
            <w:gridSpan w:val="5"/>
            <w:tcBorders>
              <w:top w:val="nil"/>
              <w:left w:val="nil"/>
              <w:bottom w:val="nil"/>
              <w:right w:val="nil"/>
            </w:tcBorders>
            <w:shd w:val="clear" w:color="auto" w:fill="auto"/>
            <w:vAlign w:val="center"/>
          </w:tcPr>
          <w:p w14:paraId="32881494">
            <w:pPr>
              <w:keepNext w:val="0"/>
              <w:keepLines w:val="0"/>
              <w:pageBreakBefore w:val="0"/>
              <w:widowControl/>
              <w:suppressLineNumbers w:val="0"/>
              <w:kinsoku/>
              <w:wordWrap/>
              <w:overflowPunct/>
              <w:topLinePunct w:val="0"/>
              <w:autoSpaceDE/>
              <w:autoSpaceDN/>
              <w:bidi w:val="0"/>
              <w:adjustRightInd/>
              <w:snapToGrid/>
              <w:spacing w:before="159" w:beforeLines="50"/>
              <w:jc w:val="left"/>
              <w:textAlignment w:val="center"/>
              <w:rPr>
                <w:rFonts w:ascii="仿宋_GB2312" w:hAnsi="宋体" w:eastAsia="仿宋_GB2312" w:cs="仿宋_GB2312"/>
                <w:i w:val="0"/>
                <w:iCs w:val="0"/>
                <w:color w:val="000000"/>
                <w:sz w:val="20"/>
                <w:szCs w:val="20"/>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r>
              <w:rPr>
                <w:rFonts w:hint="default" w:ascii="Times New Roman" w:hAnsi="Times New Roman" w:cs="Times New Roman" w:eastAsiaTheme="minorEastAsia"/>
                <w:i w:val="0"/>
                <w:iCs w:val="0"/>
                <w:color w:val="000000"/>
                <w:kern w:val="0"/>
                <w:sz w:val="21"/>
                <w:szCs w:val="21"/>
                <w:u w:val="none"/>
                <w:lang w:val="en-US" w:eastAsia="zh-CN" w:bidi="ar"/>
              </w:rPr>
              <w:t>1</w:t>
            </w:r>
            <w:r>
              <w:rPr>
                <w:rFonts w:hint="eastAsia" w:asciiTheme="minorEastAsia" w:hAnsiTheme="minorEastAsia" w:eastAsiaTheme="minorEastAsia" w:cstheme="minorEastAsia"/>
                <w:i w:val="0"/>
                <w:iCs w:val="0"/>
                <w:color w:val="000000"/>
                <w:kern w:val="0"/>
                <w:sz w:val="21"/>
                <w:szCs w:val="21"/>
                <w:u w:val="none"/>
                <w:lang w:val="en-US" w:eastAsia="zh-CN" w:bidi="ar"/>
              </w:rPr>
              <w:t>.评估记录栏填写是否符合要求；</w:t>
            </w:r>
            <w:r>
              <w:rPr>
                <w:rFonts w:hint="eastAsia" w:ascii="Times New Roman" w:hAnsi="Times New Roman" w:cs="Times New Roman" w:eastAsiaTheme="minorEastAsia"/>
                <w:i w:val="0"/>
                <w:iCs w:val="0"/>
                <w:color w:val="000000"/>
                <w:kern w:val="0"/>
                <w:sz w:val="21"/>
                <w:szCs w:val="21"/>
                <w:u w:val="none"/>
                <w:lang w:val="en-US" w:eastAsia="zh-CN" w:bidi="ar"/>
              </w:rPr>
              <w:t>2</w:t>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.国家和省有新规定的从其新规。     </w:t>
            </w:r>
            <w:r>
              <w:rPr>
                <w:rFonts w:hint="eastAsia" w:asciiTheme="minorEastAsia" w:hAnsiTheme="minorEastAsia" w:eastAsiaTheme="minorEastAsia" w:cstheme="minorEastAsia"/>
                <w:i w:val="0"/>
                <w:iCs w:val="0"/>
                <w:color w:val="000000"/>
                <w:kern w:val="0"/>
                <w:sz w:val="20"/>
                <w:szCs w:val="20"/>
                <w:u w:val="none"/>
                <w:lang w:val="en-US" w:eastAsia="zh-CN" w:bidi="ar"/>
              </w:rPr>
              <w:t xml:space="preserve">                                         评估人员签字：</w:t>
            </w:r>
          </w:p>
        </w:tc>
      </w:tr>
    </w:tbl>
    <w:p w14:paraId="2A132596">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F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99"/>
    <w:rPr>
      <w:sz w:val="32"/>
      <w:szCs w:val="32"/>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41"/>
    <w:basedOn w:val="5"/>
    <w:qFormat/>
    <w:uiPriority w:val="0"/>
    <w:rPr>
      <w:rFonts w:hint="eastAsia" w:ascii="仿宋" w:hAnsi="仿宋" w:eastAsia="仿宋" w:cs="仿宋"/>
      <w:b/>
      <w:bCs/>
      <w:color w:val="000000"/>
      <w:sz w:val="20"/>
      <w:szCs w:val="20"/>
      <w:u w:val="none"/>
    </w:rPr>
  </w:style>
  <w:style w:type="character" w:customStyle="1" w:styleId="7">
    <w:name w:val="font3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2025-10-10T09:45:43Z</dcterms:created>
  <dc:creator>lenovo</dc:creator>
  <cp:lastModifiedBy>lenovo</cp:lastModifiedBy>
  <dcterms:modified xsi:type="dcterms:W3CDTF">2025-10-10T09:46:22Z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3463BAB8762343F99661C215769BAB01_12</vt:lpwstr>
  </property>
</Properties>
</file>