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1AB13">
      <w:pPr>
        <w:keepNext w:val="0"/>
        <w:keepLines w:val="0"/>
        <w:pageBreakBefore w:val="0"/>
        <w:kinsoku/>
        <w:wordWrap/>
        <w:overflowPunct/>
        <w:topLinePunct w:val="0"/>
        <w:autoSpaceDE/>
        <w:autoSpaceDN/>
        <w:bidi w:val="0"/>
        <w:adjustRightInd/>
        <w:snapToGrid/>
        <w:spacing w:line="590" w:lineRule="exact"/>
        <w:textAlignment w:val="auto"/>
        <w:rPr>
          <w:sz w:val="32"/>
          <w:szCs w:val="40"/>
        </w:rPr>
      </w:pPr>
    </w:p>
    <w:p w14:paraId="7E9A9335">
      <w:pPr>
        <w:keepNext w:val="0"/>
        <w:keepLines w:val="0"/>
        <w:pageBreakBefore w:val="0"/>
        <w:kinsoku/>
        <w:wordWrap/>
        <w:overflowPunct/>
        <w:topLinePunct w:val="0"/>
        <w:autoSpaceDE/>
        <w:autoSpaceDN/>
        <w:bidi w:val="0"/>
        <w:adjustRightInd/>
        <w:snapToGrid/>
        <w:spacing w:line="590" w:lineRule="exact"/>
        <w:textAlignment w:val="auto"/>
        <w:rPr>
          <w:sz w:val="32"/>
          <w:szCs w:val="40"/>
        </w:rPr>
      </w:pPr>
    </w:p>
    <w:p w14:paraId="28FBE8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kern w:val="0"/>
          <w:sz w:val="44"/>
          <w:szCs w:val="44"/>
          <w:lang w:val="en-US" w:eastAsia="zh-CN" w:bidi="ar"/>
        </w:rPr>
      </w:pPr>
      <w:r>
        <w:rPr>
          <w:rFonts w:ascii="方正小标宋_GBK" w:hAnsi="方正小标宋_GBK" w:eastAsia="方正小标宋_GBK" w:cs="方正小标宋_GBK"/>
          <w:i w:val="0"/>
          <w:iCs w:val="0"/>
          <w:caps w:val="0"/>
          <w:color w:val="000000"/>
          <w:spacing w:val="0"/>
          <w:kern w:val="0"/>
          <w:sz w:val="44"/>
          <w:szCs w:val="44"/>
          <w:lang w:val="en-US" w:eastAsia="zh-CN" w:bidi="ar"/>
        </w:rPr>
        <w:t>安徽省医疗保障局</w:t>
      </w: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关于印发《安徽省长期护理保险护理服务机构定点管理实施细则</w:t>
      </w:r>
    </w:p>
    <w:p w14:paraId="478C1DE0">
      <w:pPr>
        <w:keepNext w:val="0"/>
        <w:keepLines w:val="0"/>
        <w:pageBreakBefore w:val="0"/>
        <w:kinsoku/>
        <w:wordWrap/>
        <w:overflowPunct/>
        <w:topLinePunct w:val="0"/>
        <w:autoSpaceDE/>
        <w:autoSpaceDN/>
        <w:bidi w:val="0"/>
        <w:adjustRightInd/>
        <w:snapToGrid/>
        <w:spacing w:line="590" w:lineRule="exact"/>
        <w:jc w:val="center"/>
        <w:textAlignment w:val="auto"/>
        <w:rPr>
          <w:sz w:val="32"/>
          <w:szCs w:val="40"/>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（试行）》的通知</w:t>
      </w:r>
    </w:p>
    <w:p w14:paraId="388753F0">
      <w:pPr>
        <w:keepNext w:val="0"/>
        <w:keepLines w:val="0"/>
        <w:pageBreakBefore w:val="0"/>
        <w:widowControl/>
        <w:suppressLineNumbers w:val="0"/>
        <w:kinsoku/>
        <w:wordWrap/>
        <w:overflowPunct/>
        <w:topLinePunct w:val="0"/>
        <w:autoSpaceDE/>
        <w:autoSpaceDN/>
        <w:bidi w:val="0"/>
        <w:adjustRightInd/>
        <w:snapToGrid/>
        <w:spacing w:line="590" w:lineRule="exact"/>
        <w:jc w:val="center"/>
      </w:pPr>
      <w:r>
        <w:rPr>
          <w:rFonts w:hint="default" w:ascii="Times New Roman" w:hAnsi="Times New Roman" w:eastAsia="方正仿宋_GBK" w:cs="Times New Roman"/>
          <w:i w:val="0"/>
          <w:iCs w:val="0"/>
          <w:caps w:val="0"/>
          <w:color w:val="000000"/>
          <w:spacing w:val="0"/>
          <w:kern w:val="0"/>
          <w:sz w:val="32"/>
          <w:szCs w:val="32"/>
          <w:lang w:val="en-US" w:eastAsia="zh-CN" w:bidi="ar"/>
        </w:rPr>
        <w:t>皖医保发〔2025〕12 号</w:t>
      </w:r>
    </w:p>
    <w:p w14:paraId="717664CF">
      <w:pPr>
        <w:keepNext w:val="0"/>
        <w:keepLines w:val="0"/>
        <w:pageBreakBefore w:val="0"/>
        <w:kinsoku/>
        <w:wordWrap/>
        <w:overflowPunct/>
        <w:topLinePunct w:val="0"/>
        <w:autoSpaceDE/>
        <w:autoSpaceDN/>
        <w:bidi w:val="0"/>
        <w:adjustRightInd/>
        <w:snapToGrid/>
        <w:spacing w:line="590" w:lineRule="exact"/>
        <w:textAlignment w:val="auto"/>
      </w:pPr>
    </w:p>
    <w:p w14:paraId="584318D0">
      <w:pPr>
        <w:keepNext w:val="0"/>
        <w:keepLines w:val="0"/>
        <w:pageBreakBefore w:val="0"/>
        <w:widowControl/>
        <w:suppressLineNumbers w:val="0"/>
        <w:kinsoku/>
        <w:wordWrap/>
        <w:overflowPunct/>
        <w:topLinePunct w:val="0"/>
        <w:autoSpaceDE/>
        <w:autoSpaceDN/>
        <w:bidi w:val="0"/>
        <w:adjustRightInd/>
        <w:snapToGrid/>
        <w:spacing w:line="590" w:lineRule="exact"/>
        <w:jc w:val="both"/>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各市</w:t>
      </w:r>
      <w:r>
        <w:rPr>
          <w:rFonts w:hint="eastAsia" w:ascii="Times New Roman" w:hAnsi="Times New Roman" w:eastAsia="方正仿宋_GBK" w:cs="Times New Roman"/>
          <w:i w:val="0"/>
          <w:iCs w:val="0"/>
          <w:caps w:val="0"/>
          <w:color w:val="000000"/>
          <w:spacing w:val="0"/>
          <w:kern w:val="0"/>
          <w:sz w:val="32"/>
          <w:szCs w:val="32"/>
          <w:lang w:val="en-US" w:eastAsia="zh" w:bidi="ar"/>
        </w:rPr>
        <w:t>、县</w:t>
      </w:r>
      <w:r>
        <w:rPr>
          <w:rFonts w:hint="default" w:ascii="Times New Roman" w:hAnsi="Times New Roman" w:eastAsia="方正仿宋_GBK" w:cs="Times New Roman"/>
          <w:i w:val="0"/>
          <w:iCs w:val="0"/>
          <w:caps w:val="0"/>
          <w:color w:val="000000"/>
          <w:spacing w:val="0"/>
          <w:kern w:val="0"/>
          <w:sz w:val="32"/>
          <w:szCs w:val="32"/>
          <w:lang w:val="en-US" w:eastAsia="zh-CN" w:bidi="ar"/>
        </w:rPr>
        <w:t>医疗保障局，局有关处室、单位：</w:t>
      </w:r>
    </w:p>
    <w:p w14:paraId="35F5D013">
      <w:pPr>
        <w:keepNext w:val="0"/>
        <w:keepLines w:val="0"/>
        <w:pageBreakBefore w:val="0"/>
        <w:widowControl/>
        <w:suppressLineNumbers w:val="0"/>
        <w:kinsoku/>
        <w:wordWrap/>
        <w:overflowPunct/>
        <w:topLinePunct w:val="0"/>
        <w:autoSpaceDE/>
        <w:autoSpaceDN/>
        <w:bidi w:val="0"/>
        <w:adjustRightInd/>
        <w:snapToGrid/>
        <w:spacing w:line="590" w:lineRule="exact"/>
        <w:jc w:val="center"/>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eastAsia" w:eastAsia="方正仿宋_GBK" w:cs="Times New Roman"/>
          <w:i w:val="0"/>
          <w:iCs w:val="0"/>
          <w:caps w:val="0"/>
          <w:color w:val="000000"/>
          <w:spacing w:val="0"/>
          <w:kern w:val="0"/>
          <w:sz w:val="32"/>
          <w:szCs w:val="32"/>
          <w:lang w:val="en-US" w:eastAsia="zh-CN" w:bidi="ar"/>
        </w:rPr>
        <w:t xml:space="preserve">    </w:t>
      </w:r>
      <w:r>
        <w:rPr>
          <w:rFonts w:hint="eastAsia" w:ascii="Times New Roman" w:hAnsi="Times New Roman" w:eastAsia="方正仿宋_GBK" w:cs="Times New Roman"/>
          <w:i w:val="0"/>
          <w:iCs w:val="0"/>
          <w:caps w:val="0"/>
          <w:color w:val="000000"/>
          <w:spacing w:val="0"/>
          <w:kern w:val="0"/>
          <w:sz w:val="32"/>
          <w:szCs w:val="32"/>
          <w:lang w:val="en-US" w:eastAsia="zh" w:bidi="ar"/>
        </w:rPr>
        <w:t>现将</w:t>
      </w:r>
      <w:r>
        <w:rPr>
          <w:rFonts w:hint="default" w:ascii="Times New Roman" w:hAnsi="Times New Roman" w:eastAsia="方正仿宋_GBK" w:cs="Times New Roman"/>
          <w:i w:val="0"/>
          <w:iCs w:val="0"/>
          <w:caps w:val="0"/>
          <w:color w:val="000000"/>
          <w:spacing w:val="0"/>
          <w:kern w:val="0"/>
          <w:sz w:val="32"/>
          <w:szCs w:val="32"/>
          <w:lang w:val="en-US" w:eastAsia="zh-CN" w:bidi="ar"/>
        </w:rPr>
        <w:t>《安徽省长期护理保险护理服务机构定点管理实施细则（试行）》</w:t>
      </w:r>
      <w:r>
        <w:rPr>
          <w:rFonts w:hint="eastAsia" w:ascii="Times New Roman" w:hAnsi="Times New Roman" w:eastAsia="方正仿宋_GBK" w:cs="Times New Roman"/>
          <w:i w:val="0"/>
          <w:iCs w:val="0"/>
          <w:caps w:val="0"/>
          <w:color w:val="000000"/>
          <w:spacing w:val="0"/>
          <w:kern w:val="0"/>
          <w:sz w:val="32"/>
          <w:szCs w:val="32"/>
          <w:lang w:val="en-US" w:eastAsia="zh-CN" w:bidi="ar"/>
        </w:rPr>
        <w:t>印发给你们，请</w:t>
      </w:r>
      <w:r>
        <w:rPr>
          <w:rFonts w:hint="eastAsia" w:ascii="Times New Roman" w:hAnsi="Times New Roman" w:eastAsia="方正仿宋_GBK" w:cs="Times New Roman"/>
          <w:i w:val="0"/>
          <w:iCs w:val="0"/>
          <w:caps w:val="0"/>
          <w:color w:val="000000"/>
          <w:spacing w:val="0"/>
          <w:kern w:val="0"/>
          <w:sz w:val="32"/>
          <w:szCs w:val="32"/>
          <w:lang w:val="en-US" w:eastAsia="zh" w:bidi="ar"/>
        </w:rPr>
        <w:t>结合工作实际，认真抓好贯彻落实</w:t>
      </w:r>
      <w:r>
        <w:rPr>
          <w:rFonts w:hint="eastAsia" w:ascii="Times New Roman" w:hAnsi="Times New Roman" w:eastAsia="方正仿宋_GBK" w:cs="Times New Roman"/>
          <w:i w:val="0"/>
          <w:iCs w:val="0"/>
          <w:caps w:val="0"/>
          <w:color w:val="000000"/>
          <w:spacing w:val="0"/>
          <w:kern w:val="0"/>
          <w:sz w:val="32"/>
          <w:szCs w:val="32"/>
          <w:lang w:val="en-US" w:eastAsia="zh-CN" w:bidi="ar"/>
        </w:rPr>
        <w:t>。</w:t>
      </w:r>
    </w:p>
    <w:p w14:paraId="4A31B147">
      <w:pPr>
        <w:keepNext w:val="0"/>
        <w:keepLines w:val="0"/>
        <w:pageBreakBefore w:val="0"/>
        <w:widowControl/>
        <w:suppressLineNumbers w:val="0"/>
        <w:kinsoku/>
        <w:wordWrap/>
        <w:overflowPunct/>
        <w:topLinePunct w:val="0"/>
        <w:autoSpaceDE/>
        <w:autoSpaceDN/>
        <w:bidi w:val="0"/>
        <w:adjustRightInd/>
        <w:snapToGrid/>
        <w:spacing w:line="590" w:lineRule="exact"/>
        <w:jc w:val="center"/>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eastAsia" w:ascii="Times New Roman" w:hAnsi="Times New Roman" w:eastAsia="方正仿宋_GBK" w:cs="Times New Roman"/>
          <w:i w:val="0"/>
          <w:iCs w:val="0"/>
          <w:caps w:val="0"/>
          <w:color w:val="000000"/>
          <w:spacing w:val="0"/>
          <w:kern w:val="0"/>
          <w:sz w:val="32"/>
          <w:szCs w:val="32"/>
          <w:lang w:val="en-US" w:eastAsia="zh-CN" w:bidi="ar"/>
        </w:rPr>
        <w:t> </w:t>
      </w:r>
    </w:p>
    <w:p w14:paraId="7011CBE5">
      <w:pPr>
        <w:keepNext w:val="0"/>
        <w:keepLines w:val="0"/>
        <w:pageBreakBefore w:val="0"/>
        <w:widowControl/>
        <w:suppressLineNumbers w:val="0"/>
        <w:kinsoku/>
        <w:wordWrap/>
        <w:overflowPunct/>
        <w:topLinePunct w:val="0"/>
        <w:autoSpaceDE/>
        <w:autoSpaceDN/>
        <w:bidi w:val="0"/>
        <w:adjustRightInd/>
        <w:snapToGrid/>
        <w:spacing w:line="590" w:lineRule="exact"/>
        <w:jc w:val="center"/>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eastAsia" w:ascii="Times New Roman" w:hAnsi="Times New Roman" w:eastAsia="方正仿宋_GBK" w:cs="Times New Roman"/>
          <w:i w:val="0"/>
          <w:iCs w:val="0"/>
          <w:caps w:val="0"/>
          <w:color w:val="000000"/>
          <w:spacing w:val="0"/>
          <w:kern w:val="0"/>
          <w:sz w:val="32"/>
          <w:szCs w:val="32"/>
          <w:lang w:val="en-US" w:eastAsia="zh-CN" w:bidi="ar"/>
        </w:rPr>
        <w:t> </w:t>
      </w:r>
    </w:p>
    <w:p w14:paraId="0BBB7F39">
      <w:pPr>
        <w:keepNext w:val="0"/>
        <w:keepLines w:val="0"/>
        <w:pageBreakBefore w:val="0"/>
        <w:widowControl/>
        <w:suppressLineNumbers w:val="0"/>
        <w:kinsoku/>
        <w:wordWrap/>
        <w:overflowPunct/>
        <w:topLinePunct w:val="0"/>
        <w:autoSpaceDE/>
        <w:autoSpaceDN/>
        <w:bidi w:val="0"/>
        <w:adjustRightInd/>
        <w:snapToGrid/>
        <w:spacing w:line="590" w:lineRule="exact"/>
        <w:jc w:val="right"/>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eastAsia" w:ascii="Times New Roman" w:hAnsi="Times New Roman" w:eastAsia="方正仿宋_GBK" w:cs="Times New Roman"/>
          <w:i w:val="0"/>
          <w:iCs w:val="0"/>
          <w:caps w:val="0"/>
          <w:color w:val="000000"/>
          <w:spacing w:val="0"/>
          <w:kern w:val="0"/>
          <w:sz w:val="32"/>
          <w:szCs w:val="32"/>
          <w:lang w:val="en-US" w:eastAsia="zh-CN" w:bidi="ar"/>
        </w:rPr>
        <w:t>安徽省医疗保障局</w:t>
      </w:r>
    </w:p>
    <w:p w14:paraId="1895195B">
      <w:pPr>
        <w:keepNext w:val="0"/>
        <w:keepLines w:val="0"/>
        <w:pageBreakBefore w:val="0"/>
        <w:widowControl/>
        <w:suppressLineNumbers w:val="0"/>
        <w:kinsoku/>
        <w:wordWrap/>
        <w:overflowPunct/>
        <w:topLinePunct w:val="0"/>
        <w:autoSpaceDE/>
        <w:autoSpaceDN/>
        <w:bidi w:val="0"/>
        <w:adjustRightInd/>
        <w:snapToGrid/>
        <w:spacing w:line="590" w:lineRule="exact"/>
        <w:jc w:val="right"/>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2025</w:t>
      </w:r>
      <w:r>
        <w:rPr>
          <w:rFonts w:hint="eastAsia" w:ascii="Times New Roman" w:hAnsi="Times New Roman" w:eastAsia="方正仿宋_GBK" w:cs="Times New Roman"/>
          <w:i w:val="0"/>
          <w:iCs w:val="0"/>
          <w:caps w:val="0"/>
          <w:color w:val="000000"/>
          <w:spacing w:val="0"/>
          <w:kern w:val="0"/>
          <w:sz w:val="32"/>
          <w:szCs w:val="32"/>
          <w:lang w:val="en-US" w:eastAsia="zh-CN" w:bidi="ar"/>
        </w:rPr>
        <w:t>年</w:t>
      </w:r>
      <w:r>
        <w:rPr>
          <w:rFonts w:hint="default" w:ascii="Times New Roman" w:hAnsi="Times New Roman" w:eastAsia="方正仿宋_GBK" w:cs="Times New Roman"/>
          <w:i w:val="0"/>
          <w:iCs w:val="0"/>
          <w:caps w:val="0"/>
          <w:color w:val="000000"/>
          <w:spacing w:val="0"/>
          <w:kern w:val="0"/>
          <w:sz w:val="32"/>
          <w:szCs w:val="32"/>
          <w:lang w:val="en-US" w:eastAsia="zh-CN" w:bidi="ar"/>
        </w:rPr>
        <w:t>7</w:t>
      </w:r>
      <w:r>
        <w:rPr>
          <w:rFonts w:hint="eastAsia" w:ascii="Times New Roman" w:hAnsi="Times New Roman" w:eastAsia="方正仿宋_GBK" w:cs="Times New Roman"/>
          <w:i w:val="0"/>
          <w:iCs w:val="0"/>
          <w:caps w:val="0"/>
          <w:color w:val="000000"/>
          <w:spacing w:val="0"/>
          <w:kern w:val="0"/>
          <w:sz w:val="32"/>
          <w:szCs w:val="32"/>
          <w:lang w:val="en-US" w:eastAsia="zh-CN" w:bidi="ar"/>
        </w:rPr>
        <w:t>月</w:t>
      </w:r>
      <w:r>
        <w:rPr>
          <w:rFonts w:hint="eastAsia" w:eastAsia="方正仿宋_GBK" w:cs="Times New Roman"/>
          <w:i w:val="0"/>
          <w:iCs w:val="0"/>
          <w:caps w:val="0"/>
          <w:color w:val="000000"/>
          <w:spacing w:val="0"/>
          <w:kern w:val="0"/>
          <w:sz w:val="32"/>
          <w:szCs w:val="32"/>
          <w:lang w:val="en-US" w:eastAsia="zh-CN" w:bidi="ar"/>
        </w:rPr>
        <w:t>25</w:t>
      </w:r>
      <w:r>
        <w:rPr>
          <w:rFonts w:hint="eastAsia" w:ascii="Times New Roman" w:hAnsi="Times New Roman" w:eastAsia="方正仿宋_GBK" w:cs="Times New Roman"/>
          <w:i w:val="0"/>
          <w:iCs w:val="0"/>
          <w:caps w:val="0"/>
          <w:color w:val="000000"/>
          <w:spacing w:val="0"/>
          <w:kern w:val="0"/>
          <w:sz w:val="32"/>
          <w:szCs w:val="32"/>
          <w:lang w:val="en-US" w:eastAsia="zh-CN" w:bidi="ar"/>
        </w:rPr>
        <w:t>日</w:t>
      </w:r>
    </w:p>
    <w:p w14:paraId="18397EA6">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lang w:val="en-US" w:eastAsia="zh-CN" w:bidi="ar"/>
        </w:rPr>
      </w:pPr>
      <w:r>
        <w:rPr>
          <w:rFonts w:hint="eastAsia" w:ascii="Times New Roman" w:hAnsi="Times New Roman" w:eastAsia="方正仿宋_GBK" w:cs="Times New Roman"/>
          <w:i w:val="0"/>
          <w:iCs w:val="0"/>
          <w:caps w:val="0"/>
          <w:color w:val="000000"/>
          <w:spacing w:val="0"/>
          <w:kern w:val="0"/>
          <w:sz w:val="32"/>
          <w:szCs w:val="32"/>
          <w:lang w:val="en-US" w:eastAsia="zh-CN" w:bidi="ar"/>
        </w:rPr>
        <w:t>（此件公开发布）</w:t>
      </w:r>
    </w:p>
    <w:p w14:paraId="142D460C">
      <w:pPr>
        <w:keepNext w:val="0"/>
        <w:keepLines w:val="0"/>
        <w:pageBreakBefore w:val="0"/>
        <w:kinsoku/>
        <w:wordWrap/>
        <w:overflowPunct/>
        <w:topLinePunct w:val="0"/>
        <w:autoSpaceDE/>
        <w:autoSpaceDN/>
        <w:bidi w:val="0"/>
        <w:adjustRightInd/>
        <w:snapToGrid/>
        <w:spacing w:line="590" w:lineRule="exact"/>
        <w:ind w:firstLine="420" w:firstLineChars="200"/>
        <w:textAlignment w:val="auto"/>
      </w:pPr>
    </w:p>
    <w:p w14:paraId="694FBF71">
      <w:pPr>
        <w:keepNext w:val="0"/>
        <w:keepLines w:val="0"/>
        <w:pageBreakBefore w:val="0"/>
        <w:kinsoku/>
        <w:wordWrap/>
        <w:overflowPunct/>
        <w:topLinePunct w:val="0"/>
        <w:autoSpaceDE/>
        <w:autoSpaceDN/>
        <w:bidi w:val="0"/>
        <w:adjustRightInd/>
        <w:snapToGrid/>
        <w:spacing w:line="590" w:lineRule="exact"/>
        <w:textAlignment w:val="auto"/>
      </w:pPr>
    </w:p>
    <w:p w14:paraId="33CEE52E">
      <w:pPr>
        <w:keepNext w:val="0"/>
        <w:keepLines w:val="0"/>
        <w:pageBreakBefore w:val="0"/>
        <w:kinsoku/>
        <w:wordWrap/>
        <w:overflowPunct/>
        <w:topLinePunct w:val="0"/>
        <w:autoSpaceDE/>
        <w:autoSpaceDN/>
        <w:bidi w:val="0"/>
        <w:adjustRightInd/>
        <w:snapToGrid/>
        <w:spacing w:line="590" w:lineRule="exact"/>
        <w:textAlignment w:val="auto"/>
      </w:pPr>
    </w:p>
    <w:p w14:paraId="46303C7F">
      <w:pPr>
        <w:keepNext w:val="0"/>
        <w:keepLines w:val="0"/>
        <w:pageBreakBefore w:val="0"/>
        <w:kinsoku/>
        <w:wordWrap/>
        <w:overflowPunct/>
        <w:topLinePunct w:val="0"/>
        <w:autoSpaceDE/>
        <w:autoSpaceDN/>
        <w:bidi w:val="0"/>
        <w:adjustRightInd/>
        <w:snapToGrid/>
        <w:spacing w:line="590" w:lineRule="exact"/>
        <w:textAlignment w:val="auto"/>
      </w:pPr>
    </w:p>
    <w:p w14:paraId="4F7D4218">
      <w:pPr>
        <w:keepNext w:val="0"/>
        <w:keepLines w:val="0"/>
        <w:pageBreakBefore w:val="0"/>
        <w:kinsoku/>
        <w:wordWrap/>
        <w:overflowPunct/>
        <w:topLinePunct w:val="0"/>
        <w:autoSpaceDE/>
        <w:autoSpaceDN/>
        <w:bidi w:val="0"/>
        <w:adjustRightInd/>
        <w:snapToGrid/>
        <w:spacing w:line="590" w:lineRule="exact"/>
        <w:textAlignment w:val="auto"/>
      </w:pPr>
    </w:p>
    <w:p w14:paraId="6368AA53">
      <w:pPr>
        <w:keepNext w:val="0"/>
        <w:keepLines w:val="0"/>
        <w:pageBreakBefore w:val="0"/>
        <w:kinsoku/>
        <w:wordWrap/>
        <w:overflowPunct/>
        <w:topLinePunct w:val="0"/>
        <w:autoSpaceDE/>
        <w:autoSpaceDN/>
        <w:bidi w:val="0"/>
        <w:adjustRightInd/>
        <w:snapToGrid/>
        <w:spacing w:line="590" w:lineRule="exact"/>
        <w:textAlignment w:val="auto"/>
      </w:pPr>
    </w:p>
    <w:p w14:paraId="14F847A3">
      <w:pPr>
        <w:keepNext w:val="0"/>
        <w:keepLines w:val="0"/>
        <w:pageBreakBefore w:val="0"/>
        <w:kinsoku/>
        <w:wordWrap/>
        <w:overflowPunct/>
        <w:topLinePunct w:val="0"/>
        <w:autoSpaceDE/>
        <w:autoSpaceDN/>
        <w:bidi w:val="0"/>
        <w:adjustRightInd/>
        <w:snapToGrid/>
        <w:spacing w:line="590" w:lineRule="exact"/>
        <w:textAlignment w:val="auto"/>
      </w:pPr>
    </w:p>
    <w:p w14:paraId="7622FD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baseline"/>
        <w:rPr>
          <w:rFonts w:hint="eastAsia" w:ascii="方正小标宋_GBK" w:hAnsi="方正小标宋_GBK" w:eastAsia="方正小标宋_GBK" w:cs="方正小标宋_GBK"/>
          <w:b w:val="0"/>
          <w:bCs w:val="0"/>
          <w:i w:val="0"/>
          <w:iCs w:val="0"/>
          <w:caps w:val="0"/>
          <w:color w:val="000000"/>
          <w:spacing w:val="-6"/>
          <w:kern w:val="0"/>
          <w:sz w:val="44"/>
          <w:szCs w:val="44"/>
          <w:vertAlign w:val="baseline"/>
          <w:lang w:val="en-US" w:eastAsia="zh-CN" w:bidi="ar"/>
        </w:rPr>
      </w:pPr>
    </w:p>
    <w:p w14:paraId="4F96BF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baseline"/>
        <w:rPr>
          <w:rFonts w:hint="default" w:ascii="Times New Roman" w:hAnsi="Times New Roman" w:cs="Times New Roman"/>
          <w:i w:val="0"/>
          <w:iCs w:val="0"/>
          <w:caps w:val="0"/>
          <w:color w:val="000000"/>
          <w:spacing w:val="0"/>
          <w:sz w:val="32"/>
          <w:szCs w:val="32"/>
        </w:rPr>
      </w:pPr>
      <w:r>
        <w:rPr>
          <w:rFonts w:hint="eastAsia" w:ascii="方正小标宋_GBK" w:hAnsi="方正小标宋_GBK" w:eastAsia="方正小标宋_GBK" w:cs="方正小标宋_GBK"/>
          <w:b w:val="0"/>
          <w:bCs w:val="0"/>
          <w:i w:val="0"/>
          <w:iCs w:val="0"/>
          <w:caps w:val="0"/>
          <w:color w:val="000000"/>
          <w:spacing w:val="-6"/>
          <w:kern w:val="0"/>
          <w:sz w:val="44"/>
          <w:szCs w:val="44"/>
          <w:vertAlign w:val="baseline"/>
          <w:lang w:val="en-US" w:eastAsia="zh-CN" w:bidi="ar"/>
        </w:rPr>
        <w:t>安徽省长期护理保险护理服务机构</w:t>
      </w:r>
    </w:p>
    <w:p w14:paraId="29F5F53F">
      <w:pPr>
        <w:keepNext w:val="0"/>
        <w:keepLines w:val="0"/>
        <w:pageBreakBefore w:val="0"/>
        <w:kinsoku/>
        <w:wordWrap/>
        <w:overflowPunct/>
        <w:topLinePunct w:val="0"/>
        <w:autoSpaceDE/>
        <w:autoSpaceDN/>
        <w:bidi w:val="0"/>
        <w:adjustRightInd/>
        <w:snapToGrid/>
        <w:spacing w:line="590" w:lineRule="exact"/>
        <w:jc w:val="center"/>
        <w:textAlignment w:val="auto"/>
      </w:pPr>
      <w:r>
        <w:rPr>
          <w:rFonts w:hint="eastAsia" w:ascii="方正小标宋_GBK" w:hAnsi="方正小标宋_GBK" w:eastAsia="方正小标宋_GBK" w:cs="方正小标宋_GBK"/>
          <w:b w:val="0"/>
          <w:bCs w:val="0"/>
          <w:i w:val="0"/>
          <w:iCs w:val="0"/>
          <w:caps w:val="0"/>
          <w:color w:val="000000"/>
          <w:spacing w:val="16"/>
          <w:kern w:val="0"/>
          <w:sz w:val="44"/>
          <w:szCs w:val="44"/>
          <w:vertAlign w:val="baseline"/>
          <w:lang w:val="en-US" w:eastAsia="zh-CN" w:bidi="ar"/>
        </w:rPr>
        <w:t>定点管理实施细则（试行）</w:t>
      </w:r>
    </w:p>
    <w:p w14:paraId="2AFB55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baseline"/>
        <w:rPr>
          <w:rFonts w:hint="eastAsia" w:ascii="黑体" w:hAnsi="宋体" w:eastAsia="黑体" w:cs="黑体"/>
          <w:b w:val="0"/>
          <w:bCs w:val="0"/>
          <w:i w:val="0"/>
          <w:iCs w:val="0"/>
          <w:caps w:val="0"/>
          <w:color w:val="000000"/>
          <w:spacing w:val="4"/>
          <w:kern w:val="0"/>
          <w:sz w:val="32"/>
          <w:szCs w:val="32"/>
          <w:vertAlign w:val="baseline"/>
          <w:lang w:val="en-US" w:eastAsia="zh-CN" w:bidi="ar"/>
        </w:rPr>
      </w:pPr>
    </w:p>
    <w:p w14:paraId="0D7D07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baseline"/>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t>第一章  总  则</w:t>
      </w:r>
    </w:p>
    <w:p w14:paraId="3C09DF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both"/>
        <w:textAlignment w:val="baseline"/>
        <w:rPr>
          <w:rFonts w:hint="default" w:ascii="Times New Roman" w:hAnsi="Times New Roman" w:cs="Times New Roman"/>
          <w:i w:val="0"/>
          <w:iCs w:val="0"/>
          <w:caps w:val="0"/>
          <w:color w:val="000000"/>
          <w:spacing w:val="0"/>
          <w:sz w:val="32"/>
          <w:szCs w:val="32"/>
        </w:rPr>
      </w:pPr>
    </w:p>
    <w:p w14:paraId="782EB4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704"/>
        <w:jc w:val="both"/>
        <w:textAlignment w:val="baseline"/>
        <w:rPr>
          <w:rFonts w:hint="default" w:ascii="Times New Roman" w:hAnsi="Times New Roman" w:cs="Times New Roman"/>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t>第一条</w:t>
      </w:r>
      <w:r>
        <w:rPr>
          <w:rFonts w:hint="eastAsia" w:ascii="黑体" w:hAnsi="宋体" w:eastAsia="黑体" w:cs="黑体"/>
          <w:b w:val="0"/>
          <w:bCs w:val="0"/>
          <w:i w:val="0"/>
          <w:iCs w:val="0"/>
          <w:caps w:val="0"/>
          <w:color w:val="000000"/>
          <w:spacing w:val="17"/>
          <w:kern w:val="0"/>
          <w:sz w:val="32"/>
          <w:szCs w:val="32"/>
          <w:vertAlign w:val="baseline"/>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为加强长期护理保险护理服务机构（以下简称“长护服务机构”）定点管理，规范服务行为，提高长期护理保险</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 w:bidi="ar"/>
        </w:rPr>
        <w:t>（</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以下简称“长护</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 w:bidi="ar"/>
        </w:rPr>
        <w:t>保险</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 w:bidi="ar"/>
        </w:rPr>
        <w:t>）</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基金使用效能，保障享受长期护理保险待遇的参保人员（以下简称“参保人员”）合法权益，根据《国家医保局</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 w:bidi="ar"/>
        </w:rPr>
        <w:t>、</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财政部关于扩大长期护理保险制度试点的指导意见》（医保发〔</w:t>
      </w:r>
      <w:r>
        <w:rPr>
          <w:rFonts w:hint="default" w:ascii="Times New Roman" w:hAnsi="Times New Roman" w:eastAsia="方正仿宋_GBK" w:cs="Times New Roman"/>
          <w:b w:val="0"/>
          <w:bCs w:val="0"/>
          <w:i w:val="0"/>
          <w:iCs w:val="0"/>
          <w:caps w:val="0"/>
          <w:color w:val="000000"/>
          <w:spacing w:val="0"/>
          <w:kern w:val="0"/>
          <w:sz w:val="32"/>
          <w:szCs w:val="32"/>
          <w:vertAlign w:val="baseline"/>
          <w:lang w:val="en-US" w:eastAsia="zh-CN" w:bidi="ar"/>
        </w:rPr>
        <w:t>2020</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w:t>
      </w:r>
      <w:r>
        <w:rPr>
          <w:rFonts w:hint="default" w:ascii="Times New Roman" w:hAnsi="Times New Roman" w:eastAsia="方正仿宋_GBK" w:cs="Times New Roman"/>
          <w:b w:val="0"/>
          <w:bCs w:val="0"/>
          <w:i w:val="0"/>
          <w:iCs w:val="0"/>
          <w:caps w:val="0"/>
          <w:color w:val="000000"/>
          <w:spacing w:val="0"/>
          <w:kern w:val="0"/>
          <w:sz w:val="32"/>
          <w:szCs w:val="32"/>
          <w:vertAlign w:val="baseline"/>
          <w:lang w:val="en-US" w:eastAsia="zh-CN" w:bidi="ar"/>
        </w:rPr>
        <w:t>37</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号）和《国家医疗保障局办公室关于印发〈长期护理保险护理服务机构定点管理办法（试行）〉的通知》（医保办发〔</w:t>
      </w:r>
      <w:r>
        <w:rPr>
          <w:rFonts w:hint="default" w:ascii="Times New Roman" w:hAnsi="Times New Roman" w:eastAsia="方正仿宋_GBK" w:cs="Times New Roman"/>
          <w:b w:val="0"/>
          <w:bCs w:val="0"/>
          <w:i w:val="0"/>
          <w:iCs w:val="0"/>
          <w:caps w:val="0"/>
          <w:color w:val="000000"/>
          <w:spacing w:val="0"/>
          <w:kern w:val="0"/>
          <w:sz w:val="32"/>
          <w:szCs w:val="32"/>
          <w:vertAlign w:val="baseline"/>
          <w:lang w:val="en-US" w:eastAsia="zh-CN" w:bidi="ar"/>
        </w:rPr>
        <w:t>2024</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w:t>
      </w:r>
      <w:r>
        <w:rPr>
          <w:rFonts w:hint="default" w:ascii="Times New Roman" w:hAnsi="Times New Roman" w:eastAsia="方正仿宋_GBK" w:cs="Times New Roman"/>
          <w:b w:val="0"/>
          <w:bCs w:val="0"/>
          <w:i w:val="0"/>
          <w:iCs w:val="0"/>
          <w:caps w:val="0"/>
          <w:color w:val="000000"/>
          <w:spacing w:val="0"/>
          <w:kern w:val="0"/>
          <w:sz w:val="32"/>
          <w:szCs w:val="32"/>
          <w:vertAlign w:val="baseline"/>
          <w:lang w:val="en-US" w:eastAsia="zh-CN" w:bidi="ar"/>
        </w:rPr>
        <w:t>21</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号）等有关规定，结合我省实际，制定本细则。</w:t>
      </w:r>
    </w:p>
    <w:p w14:paraId="2B4F24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28"/>
        <w:jc w:val="both"/>
        <w:textAlignment w:val="baseline"/>
        <w:rPr>
          <w:rFonts w:hint="default" w:ascii="Times New Roman" w:hAnsi="Times New Roman" w:cs="Times New Roman"/>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t>第二条</w:t>
      </w:r>
      <w:r>
        <w:rPr>
          <w:rFonts w:hint="eastAsia" w:ascii="黑体" w:hAnsi="宋体" w:eastAsia="黑体" w:cs="黑体"/>
          <w:b w:val="0"/>
          <w:bCs w:val="0"/>
          <w:i w:val="0"/>
          <w:iCs w:val="0"/>
          <w:caps w:val="0"/>
          <w:color w:val="000000"/>
          <w:spacing w:val="-2"/>
          <w:kern w:val="0"/>
          <w:sz w:val="32"/>
          <w:szCs w:val="32"/>
          <w:vertAlign w:val="baseline"/>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长护服务机构定点管理坚持以人民健康为中心，遵循保障基本、公平公正、权责明晰、动态平衡的原则，引导定点长护服务机构规范长期护理服务行为，为参保人员提供适宜、专业的长期护理服务。</w:t>
      </w:r>
    </w:p>
    <w:p w14:paraId="4FE121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本实施细则所指定点长护服务机构，是指省域内依法成立，</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 w:bidi="ar"/>
        </w:rPr>
        <w:t>经定点管理程序确认并与</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所在地医疗保障经办机构签订长期护理保险服务协议（以下简称“长护协议”），为参保人员提供长期护理服务的养老机构、医疗机构或者业务范围包含养老服务、照护服务或者护理服务的其他服务机构。</w:t>
      </w:r>
    </w:p>
    <w:p w14:paraId="6360F5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704"/>
        <w:jc w:val="both"/>
        <w:textAlignment w:val="baseline"/>
        <w:rPr>
          <w:rFonts w:hint="default" w:ascii="Times New Roman" w:hAnsi="Times New Roman" w:cs="Times New Roman"/>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t>第三条</w:t>
      </w:r>
      <w:r>
        <w:rPr>
          <w:rFonts w:hint="eastAsia" w:ascii="黑体" w:hAnsi="宋体" w:eastAsia="黑体" w:cs="黑体"/>
          <w:b w:val="0"/>
          <w:bCs w:val="0"/>
          <w:i w:val="0"/>
          <w:iCs w:val="0"/>
          <w:caps w:val="0"/>
          <w:color w:val="000000"/>
          <w:spacing w:val="17"/>
          <w:kern w:val="0"/>
          <w:sz w:val="32"/>
          <w:szCs w:val="32"/>
          <w:vertAlign w:val="baseline"/>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省级医疗保障行政部门负责制定长护服务机构定点管理实施细则，监督和指导本行政区域内长护服务机构定点管理有关规定的执行和落实。省级医疗保障经办机构在国家医疗保障经办机构制定的长护经办规程、协议范本等基础上，制定本省长护经办规程、协议范本等并</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 w:bidi="ar"/>
        </w:rPr>
        <w:t>指导各统筹地区加强和完善</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协议管理。</w:t>
      </w:r>
    </w:p>
    <w:p w14:paraId="309961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各</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 w:bidi="ar"/>
        </w:rPr>
        <w:t>统筹地区</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医疗保障行政部门负责执行长护服务机构定点管理有关规定，并对辖区内医疗保障经办机构、定点长护服务机构执行情况进行监督和指导。各级医疗保障经办机构负责确定定点长护服务机构，与定点机构签订长护协议，开展协议管理、费用审核结算、绩效考核等相关工作。</w:t>
      </w:r>
    </w:p>
    <w:p w14:paraId="6AE3B3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704"/>
        <w:jc w:val="both"/>
        <w:textAlignment w:val="baseline"/>
        <w:rPr>
          <w:rFonts w:hint="default" w:ascii="Times New Roman" w:hAnsi="Times New Roman" w:cs="Times New Roman"/>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t>第四条</w:t>
      </w:r>
      <w:r>
        <w:rPr>
          <w:rFonts w:hint="eastAsia" w:ascii="黑体" w:hAnsi="宋体" w:eastAsia="黑体" w:cs="黑体"/>
          <w:b w:val="0"/>
          <w:bCs w:val="0"/>
          <w:i w:val="0"/>
          <w:iCs w:val="0"/>
          <w:caps w:val="0"/>
          <w:color w:val="000000"/>
          <w:spacing w:val="17"/>
          <w:kern w:val="0"/>
          <w:sz w:val="32"/>
          <w:szCs w:val="32"/>
          <w:vertAlign w:val="baseline"/>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本细则适用于本省行政区域内实施长护保险制度地区的长护服务机构定点管理工作。</w:t>
      </w:r>
    </w:p>
    <w:p w14:paraId="55D9BE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24"/>
        <w:jc w:val="both"/>
        <w:textAlignment w:val="baseline"/>
        <w:rPr>
          <w:rFonts w:hint="default" w:ascii="Times New Roman" w:hAnsi="Times New Roman" w:cs="Times New Roman"/>
          <w:i w:val="0"/>
          <w:iCs w:val="0"/>
          <w:caps w:val="0"/>
          <w:color w:val="000000"/>
          <w:spacing w:val="0"/>
          <w:sz w:val="32"/>
          <w:szCs w:val="32"/>
        </w:rPr>
      </w:pPr>
      <w:r>
        <w:rPr>
          <w:rFonts w:ascii="仿宋" w:hAnsi="仿宋" w:eastAsia="仿宋" w:cs="仿宋"/>
          <w:b w:val="0"/>
          <w:bCs w:val="0"/>
          <w:i w:val="0"/>
          <w:iCs w:val="0"/>
          <w:caps w:val="0"/>
          <w:color w:val="000000"/>
          <w:spacing w:val="-3"/>
          <w:kern w:val="0"/>
          <w:sz w:val="32"/>
          <w:szCs w:val="32"/>
          <w:vertAlign w:val="baseline"/>
          <w:lang w:val="en-US" w:eastAsia="zh-CN" w:bidi="ar"/>
        </w:rPr>
        <w:t> </w:t>
      </w:r>
    </w:p>
    <w:p w14:paraId="799D96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28"/>
        <w:jc w:val="center"/>
        <w:textAlignment w:val="baseline"/>
        <w:rPr>
          <w:rFonts w:hint="default"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pPr>
      <w:r>
        <w:rPr>
          <w:rFonts w:hint="eastAsia"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t>第二章  定点长护服务机构标准</w:t>
      </w:r>
    </w:p>
    <w:p w14:paraId="00264E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704"/>
        <w:jc w:val="both"/>
        <w:textAlignment w:val="baseline"/>
        <w:rPr>
          <w:rFonts w:hint="default" w:ascii="Times New Roman" w:hAnsi="Times New Roman" w:cs="Times New Roman"/>
          <w:i w:val="0"/>
          <w:iCs w:val="0"/>
          <w:caps w:val="0"/>
          <w:color w:val="000000"/>
          <w:spacing w:val="0"/>
          <w:sz w:val="32"/>
          <w:szCs w:val="32"/>
        </w:rPr>
      </w:pPr>
      <w:r>
        <w:rPr>
          <w:rFonts w:hint="eastAsia" w:ascii="黑体" w:hAnsi="宋体" w:eastAsia="黑体" w:cs="黑体"/>
          <w:b w:val="0"/>
          <w:bCs w:val="0"/>
          <w:i w:val="0"/>
          <w:iCs w:val="0"/>
          <w:caps w:val="0"/>
          <w:color w:val="000000"/>
          <w:spacing w:val="17"/>
          <w:kern w:val="0"/>
          <w:sz w:val="32"/>
          <w:szCs w:val="32"/>
          <w:vertAlign w:val="baseline"/>
          <w:lang w:val="en-US" w:eastAsia="zh-CN" w:bidi="ar"/>
        </w:rPr>
        <w:t> </w:t>
      </w:r>
    </w:p>
    <w:p w14:paraId="5E661B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704"/>
        <w:jc w:val="both"/>
        <w:textAlignment w:val="baseline"/>
        <w:rPr>
          <w:rFonts w:hint="default" w:ascii="Times New Roman" w:hAnsi="Times New Roman" w:cs="Times New Roman"/>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t>第五条</w:t>
      </w:r>
      <w:r>
        <w:rPr>
          <w:rFonts w:hint="eastAsia" w:ascii="黑体" w:hAnsi="宋体" w:eastAsia="黑体" w:cs="黑体"/>
          <w:b w:val="0"/>
          <w:bCs w:val="0"/>
          <w:i w:val="0"/>
          <w:iCs w:val="0"/>
          <w:caps w:val="0"/>
          <w:color w:val="000000"/>
          <w:spacing w:val="17"/>
          <w:kern w:val="0"/>
          <w:sz w:val="32"/>
          <w:szCs w:val="32"/>
          <w:vertAlign w:val="baseline"/>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各</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 w:bidi="ar"/>
        </w:rPr>
        <w:t>统筹地区</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医疗保障行政部门应当根据参保人员长护服务需求、长护保险基金收支、长护服务资源等情况，统筹规划区域内定点长护服务机构的配置，夯实长护服务机构定点管理的工作基础。</w:t>
      </w:r>
    </w:p>
    <w:p w14:paraId="4C3A28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704"/>
        <w:jc w:val="both"/>
        <w:textAlignment w:val="baseline"/>
        <w:rPr>
          <w:rFonts w:hint="default" w:ascii="Times New Roman" w:hAnsi="Times New Roman" w:cs="Times New Roman"/>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t>第六条</w:t>
      </w:r>
      <w:r>
        <w:rPr>
          <w:rFonts w:hint="eastAsia" w:ascii="黑体" w:hAnsi="宋体" w:eastAsia="黑体" w:cs="黑体"/>
          <w:b w:val="0"/>
          <w:bCs w:val="0"/>
          <w:i w:val="0"/>
          <w:iCs w:val="0"/>
          <w:caps w:val="0"/>
          <w:color w:val="000000"/>
          <w:spacing w:val="17"/>
          <w:kern w:val="0"/>
          <w:sz w:val="32"/>
          <w:szCs w:val="32"/>
          <w:vertAlign w:val="baseline"/>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符合下列条件的养老机构、医疗机构或者其他服务机构，可以自愿向</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 w:bidi="ar"/>
        </w:rPr>
        <w:t>统筹地区</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医疗保障经办机构申请成为定点长护服务机构：</w:t>
      </w:r>
    </w:p>
    <w:p w14:paraId="6A898E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（一）取得《养老机构设立许可证》且尚在有效期内或者在主管部门备案并且依法登记</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 w:bidi="ar"/>
        </w:rPr>
        <w:t>，床位数在10张以上</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的养老机构。</w:t>
      </w:r>
    </w:p>
    <w:p w14:paraId="305BEF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（二）取得《医疗机构执业许可证》或者诊所备案凭证并且依法登记的医疗机构。经军队主管部门批准有为民服务资质的军队医疗机构。</w:t>
      </w:r>
    </w:p>
    <w:p w14:paraId="479C7B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（三）</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 w:bidi="ar"/>
        </w:rPr>
        <w:t>其他</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依法登记成立从事养老服务、照护服务或者护理服务主营业务的</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 w:bidi="ar"/>
        </w:rPr>
        <w:t>法人</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机构（含社区服务机构或者综合服务机构）。</w:t>
      </w:r>
    </w:p>
    <w:p w14:paraId="6F4764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以上服务机构，符合本实施细则第八条、第九条规定条件的，可以申请成为定点长护服务机构。</w:t>
      </w:r>
    </w:p>
    <w:p w14:paraId="3FB519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704"/>
        <w:jc w:val="both"/>
        <w:textAlignment w:val="baseline"/>
        <w:rPr>
          <w:rFonts w:hint="default" w:ascii="Times New Roman" w:hAnsi="Times New Roman" w:cs="Times New Roman"/>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t>第七条</w:t>
      </w:r>
      <w:r>
        <w:rPr>
          <w:rFonts w:ascii="方正黑体_GBK" w:hAnsi="方正黑体_GBK" w:eastAsia="方正黑体_GBK" w:cs="方正黑体_GBK"/>
          <w:b w:val="0"/>
          <w:bCs w:val="0"/>
          <w:i w:val="0"/>
          <w:iCs w:val="0"/>
          <w:caps w:val="0"/>
          <w:color w:val="000000"/>
          <w:spacing w:val="0"/>
          <w:kern w:val="0"/>
          <w:sz w:val="32"/>
          <w:szCs w:val="32"/>
          <w:vertAlign w:val="baseline"/>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定点长护服务机构提供的长护服务类型主要分为居家护理、社区护理和机构护理。</w:t>
      </w:r>
    </w:p>
    <w:p w14:paraId="147C04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（一）居家护理，是指长护服务机构在参保人员所居住的家庭住所内为参保人员提供长期护理服务。</w:t>
      </w:r>
    </w:p>
    <w:p w14:paraId="46B192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（二）社区护理，是指长护服务机构以社区为依托为参保人员提供就近就便、非全日的长期护理服务。</w:t>
      </w:r>
    </w:p>
    <w:p w14:paraId="6F30A1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（三）机构护理，是指长护服务机构在所开设的机构内为参保人员提供全日的长期护理服务。</w:t>
      </w:r>
    </w:p>
    <w:p w14:paraId="178C63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704"/>
        <w:jc w:val="both"/>
        <w:textAlignment w:val="baseline"/>
        <w:rPr>
          <w:rFonts w:hint="default" w:ascii="Times New Roman" w:hAnsi="Times New Roman" w:cs="Times New Roman"/>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t>第八条</w:t>
      </w:r>
      <w:r>
        <w:rPr>
          <w:rFonts w:hint="eastAsia" w:ascii="方正黑体_GBK" w:hAnsi="方正黑体_GBK" w:eastAsia="方正黑体_GBK" w:cs="方正黑体_GBK"/>
          <w:b w:val="0"/>
          <w:bCs w:val="0"/>
          <w:i w:val="0"/>
          <w:iCs w:val="0"/>
          <w:caps w:val="0"/>
          <w:color w:val="000000"/>
          <w:spacing w:val="0"/>
          <w:kern w:val="0"/>
          <w:sz w:val="32"/>
          <w:szCs w:val="32"/>
          <w:vertAlign w:val="baseline"/>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申请定点的长护服务机构应当同时具备以下基本条件：</w:t>
      </w:r>
    </w:p>
    <w:p w14:paraId="2629D8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（一）具备法人资格，在统筹地区依法注册登记，有固定的经营场所，且已开展相关护理服务，并正式经营至少</w:t>
      </w: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3</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个月。</w:t>
      </w:r>
    </w:p>
    <w:p w14:paraId="67429B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（二）配备不少于</w:t>
      </w: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1</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名长护专（兼）职管理人员，且熟悉长护保险政策规定及要求。长护服务能力在</w:t>
      </w: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100</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（含）人以上的应当成立</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 w:bidi="ar"/>
        </w:rPr>
        <w:t>长护</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管理</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 w:bidi="ar"/>
        </w:rPr>
        <w:t>内设工作机构并配备专职管理人员</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w:t>
      </w:r>
    </w:p>
    <w:p w14:paraId="5899B6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（三）配备一定数量的专职长护服务人员，人员类型、数量与服务能力、服务范围相匹配，且应符合下列条件之一：</w:t>
      </w:r>
    </w:p>
    <w:p w14:paraId="3E64B3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1</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．执业医师或者护士。</w:t>
      </w:r>
    </w:p>
    <w:p w14:paraId="76FE55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2</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．长期照护师、养老护理员、医疗护理员等相关护理人员。</w:t>
      </w:r>
    </w:p>
    <w:p w14:paraId="633D53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（四）具有与长护保险政策规定相适应的服务管理、财务管理、信息统计、内控管理、人员管理、档案管理等制度。</w:t>
      </w:r>
    </w:p>
    <w:p w14:paraId="1B7C8A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（五）具备使用全国统一的医保信息平台、与医保信息平台长护保险功能模块按接口标准进行对接等条件。</w:t>
      </w:r>
    </w:p>
    <w:p w14:paraId="604E02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（六）与长护服务相关的收费项目和收费价格符合政策规定。</w:t>
      </w:r>
    </w:p>
    <w:p w14:paraId="27422B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baseline"/>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 w:bidi="ar"/>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 w:bidi="ar"/>
        </w:rPr>
        <w:t>（七）符合法律法规和省级以上医疗保障行政部门规定的其他条件。</w:t>
      </w:r>
    </w:p>
    <w:p w14:paraId="33A760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申请提供医疗护理服务的长护服务机构应当符合卫生健康部门的有关规定。</w:t>
      </w:r>
    </w:p>
    <w:p w14:paraId="035D08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704"/>
        <w:jc w:val="both"/>
        <w:textAlignment w:val="baseline"/>
        <w:rPr>
          <w:rFonts w:hint="default" w:ascii="Times New Roman" w:hAnsi="Times New Roman" w:cs="Times New Roman"/>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t>第九条</w:t>
      </w:r>
      <w:r>
        <w:rPr>
          <w:rFonts w:hint="eastAsia" w:ascii="黑体" w:hAnsi="宋体" w:eastAsia="黑体" w:cs="黑体"/>
          <w:b w:val="0"/>
          <w:bCs w:val="0"/>
          <w:i w:val="0"/>
          <w:iCs w:val="0"/>
          <w:caps w:val="0"/>
          <w:color w:val="000000"/>
          <w:spacing w:val="17"/>
          <w:kern w:val="0"/>
          <w:sz w:val="32"/>
          <w:szCs w:val="32"/>
          <w:vertAlign w:val="baseline"/>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长护服务机构申请不同长护服务类型的，还应当具备以下条件：</w:t>
      </w:r>
    </w:p>
    <w:p w14:paraId="55E345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一）提供居家护理或者社区护理服务的定点长护服务机构需有固定的经营场所；营业执照经营范围或业务范围须有老年人、残疾人养护等服务内容；应当配备专业护理服务团队，长期照护师等护理服务人员不少于</w:t>
      </w: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4</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人；其中具备医疗资质的，医护人员不少于</w:t>
      </w: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2</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人。</w:t>
      </w:r>
    </w:p>
    <w:p w14:paraId="6D94AF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（二）提供机构护理服务的长护服务机构需在相对独立区域设置长护服务专区，二级及以上医疗机构长护服务区域床位数不少于</w:t>
      </w: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20</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张，一级及以下医疗机构长护服务区域床位数不少于</w:t>
      </w: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10</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张；应当配备与长护服务相适应的医护人员及设备设施，其中具备医疗资质的，医师和护士（师）各不少于</w:t>
      </w: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2</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人，护理人员数与服务专区床位数之比不低于</w:t>
      </w: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1</w:t>
      </w:r>
      <w:r>
        <w:rPr>
          <w:rFonts w:hint="default" w:ascii="Times New Roman" w:hAnsi="Times New Roman" w:eastAsia="方正仿宋_GBK" w:cs="Times New Roman"/>
          <w:b w:val="0"/>
          <w:bCs w:val="0"/>
          <w:i w:val="0"/>
          <w:iCs w:val="0"/>
          <w:caps w:val="0"/>
          <w:color w:val="000000"/>
          <w:spacing w:val="0"/>
          <w:kern w:val="0"/>
          <w:sz w:val="32"/>
          <w:szCs w:val="32"/>
          <w:vertAlign w:val="baseline"/>
          <w:lang w:val="en-US" w:eastAsia="zh-CN" w:bidi="ar"/>
        </w:rPr>
        <w:t>:</w:t>
      </w: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4</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w:t>
      </w:r>
    </w:p>
    <w:p w14:paraId="1D2674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申请提供机构护理服务的医疗机构应具备住院资质，取得本</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 w:bidi="ar"/>
        </w:rPr>
        <w:t>统筹地区</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医保定点资格；申请提供机构护理服务的养老机构，应具备医疗资质或至少与一家医保住院定点医疗机构有服务合作协议，服务合作协议需约定医保定点医疗机构与养老机构在同行政区域内，应包含服务条件、服务内容、服务规范、服务要求及紧急救援响应时限等要素。</w:t>
      </w:r>
    </w:p>
    <w:p w14:paraId="4A6F9E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732"/>
        <w:jc w:val="both"/>
        <w:textAlignment w:val="baseline"/>
        <w:rPr>
          <w:rFonts w:hint="default" w:ascii="Times New Roman" w:hAnsi="Times New Roman" w:cs="Times New Roman"/>
          <w:i w:val="0"/>
          <w:iCs w:val="0"/>
          <w:caps w:val="0"/>
          <w:color w:val="000000"/>
          <w:spacing w:val="0"/>
          <w:sz w:val="32"/>
          <w:szCs w:val="32"/>
        </w:rPr>
      </w:pPr>
      <w:r>
        <w:rPr>
          <w:rFonts w:hint="eastAsia" w:ascii="黑体" w:hAnsi="宋体" w:eastAsia="黑体" w:cs="黑体"/>
          <w:b w:val="0"/>
          <w:bCs w:val="0"/>
          <w:i w:val="0"/>
          <w:iCs w:val="0"/>
          <w:caps w:val="0"/>
          <w:color w:val="000000"/>
          <w:spacing w:val="4"/>
          <w:kern w:val="0"/>
          <w:sz w:val="36"/>
          <w:szCs w:val="36"/>
          <w:vertAlign w:val="baseline"/>
          <w:lang w:val="en-US" w:eastAsia="zh-CN" w:bidi="ar"/>
        </w:rPr>
        <w:t> </w:t>
      </w:r>
    </w:p>
    <w:p w14:paraId="02020C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baseline"/>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t>第三章  定点长护服务机构确定</w:t>
      </w:r>
    </w:p>
    <w:p w14:paraId="16FF92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703"/>
        <w:jc w:val="both"/>
        <w:textAlignment w:val="baseline"/>
        <w:rPr>
          <w:rFonts w:hint="eastAsia"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pPr>
    </w:p>
    <w:p w14:paraId="7E24D7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704"/>
        <w:jc w:val="both"/>
        <w:textAlignment w:val="baseline"/>
        <w:rPr>
          <w:rFonts w:hint="default" w:ascii="Times New Roman" w:hAnsi="Times New Roman" w:cs="Times New Roman"/>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t>第十条</w:t>
      </w:r>
      <w:r>
        <w:rPr>
          <w:rFonts w:hint="eastAsia" w:ascii="黑体" w:hAnsi="宋体" w:eastAsia="黑体" w:cs="黑体"/>
          <w:b w:val="0"/>
          <w:bCs w:val="0"/>
          <w:i w:val="0"/>
          <w:iCs w:val="0"/>
          <w:caps w:val="0"/>
          <w:color w:val="000000"/>
          <w:spacing w:val="17"/>
          <w:kern w:val="0"/>
          <w:sz w:val="32"/>
          <w:szCs w:val="32"/>
          <w:vertAlign w:val="baseline"/>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长护服务机构提出定点申请，</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 w:bidi="ar"/>
        </w:rPr>
        <w:t>统筹地区</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医疗保障经办机构应当及时受理并组织对申请材料（详见附件）进行初步核验。对申请材料不全的，应当一次性告知需补齐的材料；对不符合申请条件的，应当告知并说明理由。申请机构应当自收到材料补正通知之日起</w:t>
      </w: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5</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个工作日内补正，逾期不补正的视作放弃申请。</w:t>
      </w:r>
    </w:p>
    <w:p w14:paraId="0F6FD8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704"/>
        <w:jc w:val="both"/>
        <w:textAlignment w:val="baseline"/>
        <w:rPr>
          <w:rFonts w:hint="default" w:ascii="Times New Roman" w:hAnsi="Times New Roman" w:cs="Times New Roman"/>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t>第十一条</w:t>
      </w:r>
      <w:r>
        <w:rPr>
          <w:rFonts w:hint="eastAsia" w:ascii="黑体" w:hAnsi="宋体" w:eastAsia="黑体" w:cs="黑体"/>
          <w:b w:val="0"/>
          <w:bCs w:val="0"/>
          <w:i w:val="0"/>
          <w:iCs w:val="0"/>
          <w:caps w:val="0"/>
          <w:color w:val="000000"/>
          <w:spacing w:val="17"/>
          <w:kern w:val="0"/>
          <w:sz w:val="32"/>
          <w:szCs w:val="32"/>
          <w:vertAlign w:val="baseline"/>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经初步核验通过后，</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 w:bidi="ar"/>
        </w:rPr>
        <w:t>统筹地区</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医疗保障经办机构</w:t>
      </w:r>
      <w:r>
        <w:rPr>
          <w:rFonts w:hint="eastAsia" w:ascii="方正仿宋_GBK" w:hAnsi="方正仿宋_GBK" w:eastAsia="方正仿宋_GBK" w:cs="方正仿宋_GBK"/>
          <w:i w:val="0"/>
          <w:iCs w:val="0"/>
          <w:caps w:val="0"/>
          <w:color w:val="000000"/>
          <w:spacing w:val="0"/>
          <w:kern w:val="0"/>
          <w:sz w:val="32"/>
          <w:szCs w:val="32"/>
          <w:vertAlign w:val="baseline"/>
          <w:lang w:val="en-US" w:eastAsia="zh-CN" w:bidi="ar"/>
        </w:rPr>
        <w:t>需按照《国家医疗保障局办公室</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关于印发〈长期护理保险护理服务机构定点管理办法（试行）〉的通知</w:t>
      </w:r>
      <w:r>
        <w:rPr>
          <w:rFonts w:hint="eastAsia" w:ascii="方正仿宋_GBK" w:hAnsi="方正仿宋_GBK" w:eastAsia="方正仿宋_GBK" w:cs="方正仿宋_GBK"/>
          <w:i w:val="0"/>
          <w:iCs w:val="0"/>
          <w:caps w:val="0"/>
          <w:color w:val="000000"/>
          <w:spacing w:val="0"/>
          <w:kern w:val="0"/>
          <w:sz w:val="32"/>
          <w:szCs w:val="32"/>
          <w:vertAlign w:val="baseline"/>
          <w:lang w:val="en-US" w:eastAsia="zh-CN" w:bidi="ar"/>
        </w:rPr>
        <w:t>》（医保办发〔</w:t>
      </w:r>
      <w:r>
        <w:rPr>
          <w:rFonts w:hint="default" w:ascii="Times New Roman" w:hAnsi="Times New Roman" w:cs="Times New Roman"/>
          <w:i w:val="0"/>
          <w:iCs w:val="0"/>
          <w:caps w:val="0"/>
          <w:color w:val="000000"/>
          <w:spacing w:val="0"/>
          <w:kern w:val="0"/>
          <w:sz w:val="32"/>
          <w:szCs w:val="32"/>
          <w:vertAlign w:val="baseline"/>
          <w:lang w:val="en-US" w:eastAsia="zh-CN" w:bidi="ar"/>
        </w:rPr>
        <w:t>2024</w:t>
      </w:r>
      <w:r>
        <w:rPr>
          <w:rFonts w:hint="eastAsia" w:ascii="方正仿宋_GBK" w:hAnsi="方正仿宋_GBK" w:eastAsia="方正仿宋_GBK" w:cs="方正仿宋_GBK"/>
          <w:i w:val="0"/>
          <w:iCs w:val="0"/>
          <w:caps w:val="0"/>
          <w:color w:val="000000"/>
          <w:spacing w:val="0"/>
          <w:kern w:val="0"/>
          <w:sz w:val="32"/>
          <w:szCs w:val="32"/>
          <w:vertAlign w:val="baseline"/>
          <w:lang w:val="en-US" w:eastAsia="zh-CN" w:bidi="ar"/>
        </w:rPr>
        <w:t>〕</w:t>
      </w:r>
      <w:r>
        <w:rPr>
          <w:rFonts w:hint="default" w:ascii="Times New Roman" w:hAnsi="Times New Roman" w:cs="Times New Roman"/>
          <w:i w:val="0"/>
          <w:iCs w:val="0"/>
          <w:caps w:val="0"/>
          <w:color w:val="000000"/>
          <w:spacing w:val="0"/>
          <w:kern w:val="0"/>
          <w:sz w:val="32"/>
          <w:szCs w:val="32"/>
          <w:vertAlign w:val="baseline"/>
          <w:lang w:val="en-US" w:eastAsia="zh-CN" w:bidi="ar"/>
        </w:rPr>
        <w:t>21</w:t>
      </w:r>
      <w:r>
        <w:rPr>
          <w:rFonts w:hint="eastAsia" w:ascii="方正仿宋_GBK" w:hAnsi="方正仿宋_GBK" w:eastAsia="方正仿宋_GBK" w:cs="方正仿宋_GBK"/>
          <w:i w:val="0"/>
          <w:iCs w:val="0"/>
          <w:caps w:val="0"/>
          <w:color w:val="000000"/>
          <w:spacing w:val="0"/>
          <w:kern w:val="0"/>
          <w:sz w:val="32"/>
          <w:szCs w:val="32"/>
          <w:vertAlign w:val="baseline"/>
          <w:lang w:val="en-US" w:eastAsia="zh-CN" w:bidi="ar"/>
        </w:rPr>
        <w:t>号）第九条、第十条规定的审核期限、审核内容等开展定点长护服务机构确定相关工作。</w:t>
      </w:r>
    </w:p>
    <w:p w14:paraId="61F96D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704"/>
        <w:jc w:val="both"/>
        <w:textAlignment w:val="baseline"/>
        <w:rPr>
          <w:rFonts w:hint="default" w:ascii="Times New Roman" w:hAnsi="Times New Roman" w:cs="Times New Roman"/>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t>第十二条</w:t>
      </w:r>
      <w:r>
        <w:rPr>
          <w:rFonts w:hint="eastAsia" w:ascii="黑体" w:hAnsi="宋体" w:eastAsia="黑体" w:cs="黑体"/>
          <w:b w:val="0"/>
          <w:bCs w:val="0"/>
          <w:i w:val="0"/>
          <w:iCs w:val="0"/>
          <w:caps w:val="0"/>
          <w:color w:val="000000"/>
          <w:spacing w:val="17"/>
          <w:kern w:val="0"/>
          <w:sz w:val="32"/>
          <w:szCs w:val="32"/>
          <w:vertAlign w:val="baseline"/>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统筹地区医疗保障经办机构与拟定点且通过公示的长护服务机构协商谈判，达成一致的，由</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 w:bidi="ar"/>
        </w:rPr>
        <w:t>统筹地区</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医疗保障经办机构与长护服务机构签订长护协议，并向同级医疗保障行政部门备案。首次签订协议的，协议期一般为</w:t>
      </w: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1</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年</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 w:bidi="ar"/>
        </w:rPr>
        <w:t>。</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续签协议的，可以根据协议履行情况、绩效考核结果等，适当延长协议期限</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 w:bidi="ar"/>
        </w:rPr>
        <w:t>；长护服务机构</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租赁经营用房</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 w:bidi="ar"/>
        </w:rPr>
        <w:t>的，</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续签协议期限原则上不超过经营用房租赁合同有效期</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 w:bidi="ar"/>
        </w:rPr>
        <w:t>；</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续签协议期限最长不超过</w:t>
      </w: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3</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年。</w:t>
      </w:r>
    </w:p>
    <w:p w14:paraId="655350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704"/>
        <w:jc w:val="both"/>
        <w:textAlignment w:val="baseline"/>
        <w:rPr>
          <w:rFonts w:hint="default" w:ascii="Times New Roman" w:hAnsi="Times New Roman" w:cs="Times New Roman"/>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t>第十三条</w:t>
      </w:r>
      <w:r>
        <w:rPr>
          <w:rFonts w:hint="eastAsia" w:ascii="黑体" w:hAnsi="宋体" w:eastAsia="黑体" w:cs="黑体"/>
          <w:b w:val="0"/>
          <w:bCs w:val="0"/>
          <w:i w:val="0"/>
          <w:iCs w:val="0"/>
          <w:caps w:val="0"/>
          <w:color w:val="000000"/>
          <w:spacing w:val="17"/>
          <w:kern w:val="0"/>
          <w:sz w:val="32"/>
          <w:szCs w:val="32"/>
          <w:vertAlign w:val="baseline"/>
          <w:lang w:val="en-US" w:eastAsia="zh-CN" w:bidi="ar"/>
        </w:rPr>
        <w:t xml:space="preserve"> </w:t>
      </w: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长护服务机构在签订长护协议后</w:t>
      </w: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3</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个月内应当做好以下协议履行的准备工作：</w:t>
      </w:r>
    </w:p>
    <w:p w14:paraId="275DE3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（一）参加长护保险相关政策培训。长护服务机构负责人、长护业务负责人、业务骨干等从业人员须接受</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 w:bidi="ar"/>
        </w:rPr>
        <w:t>医疗保障</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经办机构组织开展的政策培训，培训内容主要包括长护保险政策法规、协议管理规定、结算业务流程、违规案例分析等。具体培训管理办法由</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 w:bidi="ar"/>
        </w:rPr>
        <w:t>统筹地区医疗保障</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经办机构制定实施。</w:t>
      </w:r>
    </w:p>
    <w:p w14:paraId="1FE68B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（二）按长护保险结算、监管、服务等要求完成信息系统、监管平台软硬件配置、改造和网络接入等各项工作，并经</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 w:bidi="ar"/>
        </w:rPr>
        <w:t>医疗保障</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经办机构验收合格。</w:t>
      </w:r>
    </w:p>
    <w:p w14:paraId="3231B0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704"/>
        <w:jc w:val="both"/>
        <w:textAlignment w:val="baseline"/>
        <w:rPr>
          <w:rFonts w:hint="default" w:ascii="Times New Roman" w:hAnsi="Times New Roman" w:cs="Times New Roman"/>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t>第十四条</w:t>
      </w:r>
      <w:r>
        <w:rPr>
          <w:rFonts w:hint="eastAsia" w:ascii="黑体" w:hAnsi="宋体" w:eastAsia="黑体" w:cs="黑体"/>
          <w:b w:val="0"/>
          <w:bCs w:val="0"/>
          <w:i w:val="0"/>
          <w:iCs w:val="0"/>
          <w:caps w:val="0"/>
          <w:color w:val="000000"/>
          <w:spacing w:val="17"/>
          <w:kern w:val="0"/>
          <w:sz w:val="32"/>
          <w:szCs w:val="32"/>
          <w:vertAlign w:val="baseline"/>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定点长护服务机构设立分支机构或者多个站点的，新增机构（站点）应当按要求申请定点管理。</w:t>
      </w:r>
    </w:p>
    <w:p w14:paraId="1F0437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704"/>
        <w:jc w:val="both"/>
        <w:textAlignment w:val="baseline"/>
        <w:rPr>
          <w:rFonts w:hint="default" w:ascii="Times New Roman" w:hAnsi="Times New Roman" w:cs="Times New Roman"/>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t>第十五条</w:t>
      </w:r>
      <w:r>
        <w:rPr>
          <w:rFonts w:hint="eastAsia" w:ascii="黑体" w:hAnsi="宋体" w:eastAsia="黑体" w:cs="黑体"/>
          <w:b w:val="0"/>
          <w:bCs w:val="0"/>
          <w:i w:val="0"/>
          <w:iCs w:val="0"/>
          <w:caps w:val="0"/>
          <w:color w:val="000000"/>
          <w:spacing w:val="17"/>
          <w:kern w:val="0"/>
          <w:sz w:val="32"/>
          <w:szCs w:val="32"/>
          <w:vertAlign w:val="baseline"/>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长护服务机构有下列情形之一的，不予受理定点申请：</w:t>
      </w:r>
    </w:p>
    <w:p w14:paraId="51079C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（一）受到相关行政部门行政处罚（处理），未完全履行处罚（处理）责任。</w:t>
      </w:r>
    </w:p>
    <w:p w14:paraId="601277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（二）以弄虚作假等不正当手段申请定点管理，自发现之日起未满</w:t>
      </w: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3</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年。</w:t>
      </w:r>
    </w:p>
    <w:p w14:paraId="48C4A6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（三）本机构或者省内同一法人主体（投资主体）的相关长护服务机构，因违法违规或者严重违反协议约定而被解除协议未满</w:t>
      </w: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3</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年，或者已满</w:t>
      </w: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3</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年但未完全履行违约责任。</w:t>
      </w:r>
    </w:p>
    <w:p w14:paraId="63F1C5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（四）法定代表人、主要负责人、实际控制人或者股东设立长护保险失能等级评估机构。</w:t>
      </w:r>
    </w:p>
    <w:p w14:paraId="1A79E5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（五）法定代表人、主要负责人或者实际控制人被列入严重失信名单。</w:t>
      </w:r>
    </w:p>
    <w:p w14:paraId="5B3D7E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（六）法定代表人、主要负责人或者实际控制人因严重违法违规造成长护保险基金重大损失或者严重不良社会影响，被禁止从事定点长护服务机构管理活动不满</w:t>
      </w: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5</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年。</w:t>
      </w:r>
    </w:p>
    <w:p w14:paraId="460612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（七）基本医保定点服务协议处于中止期间。</w:t>
      </w:r>
    </w:p>
    <w:p w14:paraId="71BAAD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（八）法律法规和规章规定的其他不予受理的情形。</w:t>
      </w:r>
    </w:p>
    <w:p w14:paraId="234115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704"/>
        <w:jc w:val="both"/>
        <w:textAlignment w:val="baseline"/>
        <w:rPr>
          <w:rFonts w:hint="default" w:ascii="Times New Roman" w:hAnsi="Times New Roman" w:cs="Times New Roman"/>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t>第十六条</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　统筹地区医疗保障经办机构应当向社会公布签订长护协议的定点长护服务机构名称、地址、联系电话、服务类型等信息，供参保人员或者其监护人、委托代理人选择。通过医疗保障信息系统平台实现统筹地区之间定点长护服务机构信息共享。</w:t>
      </w: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  </w:t>
      </w:r>
    </w:p>
    <w:p w14:paraId="1123D2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各级</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 w:bidi="ar"/>
        </w:rPr>
        <w:t>医疗保障</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经办机构指导定点长护服务机构公示并及时更新定点长护服务机构信息，包括：定点长护服务机构名称、代码、统一社会信用代码，定点协议服务对象（职工医保、居民医保），定点协议服务类型（机构护理、居家护理、社区护理等），定点长护服务机构主要负责人、地址、联系电话、定点协议状态、定点协议生效时间、定点协议截止时间及与其签约的医保经办机构名称等，定点长护服务机构确保信息及时、准确、规范、完整。</w:t>
      </w:r>
    </w:p>
    <w:p w14:paraId="760ADF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24"/>
        <w:jc w:val="both"/>
        <w:textAlignment w:val="baseline"/>
        <w:rPr>
          <w:rFonts w:hint="default" w:ascii="Times New Roman" w:hAnsi="Times New Roman" w:cs="Times New Roman"/>
          <w:i w:val="0"/>
          <w:iCs w:val="0"/>
          <w:caps w:val="0"/>
          <w:color w:val="000000"/>
          <w:spacing w:val="0"/>
          <w:sz w:val="32"/>
          <w:szCs w:val="32"/>
        </w:rPr>
      </w:pPr>
      <w:r>
        <w:rPr>
          <w:rFonts w:hint="eastAsia" w:ascii="仿宋" w:hAnsi="仿宋" w:eastAsia="仿宋" w:cs="仿宋"/>
          <w:b w:val="0"/>
          <w:bCs w:val="0"/>
          <w:i w:val="0"/>
          <w:iCs w:val="0"/>
          <w:caps w:val="0"/>
          <w:color w:val="000000"/>
          <w:spacing w:val="-3"/>
          <w:kern w:val="0"/>
          <w:sz w:val="32"/>
          <w:szCs w:val="32"/>
          <w:vertAlign w:val="baseline"/>
          <w:lang w:val="en-US" w:eastAsia="zh-CN" w:bidi="ar"/>
        </w:rPr>
        <w:t> </w:t>
      </w:r>
    </w:p>
    <w:p w14:paraId="6E78F1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baseline"/>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t>第四章  定点长护服务机构管理</w:t>
      </w:r>
    </w:p>
    <w:p w14:paraId="6078D7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24"/>
        <w:jc w:val="both"/>
        <w:textAlignment w:val="baseline"/>
        <w:rPr>
          <w:rFonts w:hint="default" w:ascii="Times New Roman" w:hAnsi="Times New Roman" w:cs="Times New Roman"/>
          <w:i w:val="0"/>
          <w:iCs w:val="0"/>
          <w:caps w:val="0"/>
          <w:color w:val="000000"/>
          <w:spacing w:val="0"/>
          <w:sz w:val="32"/>
          <w:szCs w:val="32"/>
        </w:rPr>
      </w:pPr>
      <w:r>
        <w:rPr>
          <w:rFonts w:hint="eastAsia" w:ascii="仿宋" w:hAnsi="仿宋" w:eastAsia="仿宋" w:cs="仿宋"/>
          <w:b w:val="0"/>
          <w:bCs w:val="0"/>
          <w:i w:val="0"/>
          <w:iCs w:val="0"/>
          <w:caps w:val="0"/>
          <w:color w:val="000000"/>
          <w:spacing w:val="-3"/>
          <w:kern w:val="0"/>
          <w:sz w:val="32"/>
          <w:szCs w:val="32"/>
          <w:vertAlign w:val="baseline"/>
          <w:lang w:val="en-US" w:eastAsia="zh-CN" w:bidi="ar"/>
        </w:rPr>
        <w:t> </w:t>
      </w:r>
    </w:p>
    <w:p w14:paraId="081D55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704"/>
        <w:jc w:val="both"/>
        <w:textAlignment w:val="baseline"/>
        <w:rPr>
          <w:rFonts w:hint="default" w:ascii="Times New Roman" w:hAnsi="Times New Roman" w:cs="Times New Roman"/>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t>第十七条</w:t>
      </w:r>
      <w:r>
        <w:rPr>
          <w:rFonts w:hint="eastAsia" w:ascii="黑体" w:hAnsi="宋体" w:eastAsia="黑体" w:cs="黑体"/>
          <w:b w:val="0"/>
          <w:bCs w:val="0"/>
          <w:i w:val="0"/>
          <w:iCs w:val="0"/>
          <w:caps w:val="0"/>
          <w:color w:val="000000"/>
          <w:spacing w:val="17"/>
          <w:kern w:val="0"/>
          <w:sz w:val="32"/>
          <w:szCs w:val="32"/>
          <w:vertAlign w:val="baseline"/>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定点长护服务机构具有为参保人员提供合规长护服务后获得长护保险结算费用，提出变更、中止或者解除长护协议，要求医疗保障经办机构全面诚信履行协议，对做出的违约处理结果进行解释说明、陈述申辩与提请协调处理，要求提供医保信息平台数据集和接口标准，对完善定点管理有关规定提出意见建议等权利。</w:t>
      </w:r>
    </w:p>
    <w:p w14:paraId="442328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704"/>
        <w:jc w:val="both"/>
        <w:textAlignment w:val="baseline"/>
        <w:rPr>
          <w:rFonts w:hint="default" w:ascii="Times New Roman" w:hAnsi="Times New Roman" w:cs="Times New Roman"/>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t>第十八条</w:t>
      </w:r>
      <w:r>
        <w:rPr>
          <w:rFonts w:hint="eastAsia" w:ascii="黑体" w:hAnsi="宋体" w:eastAsia="黑体" w:cs="黑体"/>
          <w:b w:val="0"/>
          <w:bCs w:val="0"/>
          <w:i w:val="0"/>
          <w:iCs w:val="0"/>
          <w:caps w:val="0"/>
          <w:color w:val="000000"/>
          <w:spacing w:val="17"/>
          <w:kern w:val="0"/>
          <w:sz w:val="32"/>
          <w:szCs w:val="32"/>
          <w:vertAlign w:val="baseline"/>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定点长护服务机构履行以下义务：</w:t>
      </w:r>
    </w:p>
    <w:p w14:paraId="738BCA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（一）定点长护服务机构应当与参保人员或者其监护人、委托代理人签订服务合同。</w:t>
      </w:r>
    </w:p>
    <w:p w14:paraId="6977E6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（二）定点长护服务机构应当核验参保人员的有效身份凭证，按照护理服务计划、行业规范等为参保人员提供服务，如实记录服务内容，按照“一人一档”的原则为参保人员建立护理服务文书电子档案。</w:t>
      </w:r>
    </w:p>
    <w:p w14:paraId="30488D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三）定点长护服务机构发现参保人员失能状态与评估等级不符，或者因病情需要在非长护服务专区、长护服务专区转换治疗与护理服务的，或者参保人员死亡、住院、迁至异地居住等情况，应当暂停或者终止该参保人员的长护保险待遇，并及时向医疗保障经办机构报告。</w:t>
      </w:r>
    </w:p>
    <w:p w14:paraId="5EC7E6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（四）定点长护服务机构应当制定服务流程和服务标准，确保护理服务一致性和规范性。</w:t>
      </w:r>
    </w:p>
    <w:p w14:paraId="0DC1C0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（五）定点长护服务机构应当通过全国统一的医保信息平台长护保险功能模块，或者自建护理服务内部管理系统并与全国统一的医保信息平台对接，实现长护保险服务等数据信息的管理与传输。</w:t>
      </w:r>
    </w:p>
    <w:p w14:paraId="6CB1EC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六）定点长护服务机构应当及时维护机构、人员等编码信息，对护理服务人员实行实名制管理，强化技能培训和职业道德教育，规范服务行为，提高服务质量，建立护理服务人员动态管理机制和工作质量考核评价体系。</w:t>
      </w:r>
    </w:p>
    <w:p w14:paraId="2D2F57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七）定点长护服务机构应当自觉加强行业自律，严格执行国家、省关于长护服务的收费和价格政策，全面实行收费公示和费用清单制度。医疗护理服务价格参照当地定点医疗机构医疗服务（项目名称、项目内涵、计价单位、收费标准等）价格政策执行。生活照护服务可以由定点长护服务机构按照公平合理、诚实守信、质价相符的原则确定收费价格，价格具有公允性，同行同业态比价具有经济性优势。</w:t>
      </w:r>
    </w:p>
    <w:p w14:paraId="609381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八）定点长护服务机构不得重复、分解收取护理服务费用，或者收费价格高于公示价格，向参保人员提供长护保险保障范围外的服务事项应当事先征得参保人员或者其监护人、委托代理人书面同意，不得实行不公平、歧视性高价，同一项目收费价格不得高于非参保人员收费价格。</w:t>
      </w:r>
    </w:p>
    <w:p w14:paraId="176422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（九）定点长护服务机构应当配合医疗保障部门做好长期护理服务价格、用量等监测工作。</w:t>
      </w:r>
    </w:p>
    <w:p w14:paraId="25AC31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（十）定点长护服务机构应当按规定悬挂统一的定点标识。通过网站和公众服务号等渠道公开发布长护服务信息，通过张贴公示、主动告知等方式公布长护服务对象和服务类型等。</w:t>
      </w:r>
    </w:p>
    <w:p w14:paraId="178C0F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（十一）定点长护服务机构应当参加医疗保障行政部门或者所在地医疗保障经办机构组织的长护保险相关宣传和培训，同时及时组织开展本单位长护保险政策、经办业务的培训。</w:t>
      </w:r>
    </w:p>
    <w:p w14:paraId="5A99C4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（十二）定点长护服务机构应当定期检查本单位长护保险基金使用情况，及时纠正不规范使用基金的行为，不得重复结算、超标准结算，不得为其他长护服务机构或者其服务对象提供结算。</w:t>
      </w:r>
    </w:p>
    <w:p w14:paraId="07C569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（十三）定点长护服务机构应当配合统筹地区医疗保障经办机构开展长护保险费用审核、服务质量检查、绩效考核等工作，及时向医疗保障行政部门提供长护保险基金使用监督管理、协议管理等所需信息。</w:t>
      </w:r>
    </w:p>
    <w:p w14:paraId="3D66F1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（十四）定点长护服务机构应当按规定向统筹地区医疗保障经办机构据实传送长护保险相关全量数据信息，并动态更新数据，确保真实准确。</w:t>
      </w:r>
    </w:p>
    <w:p w14:paraId="0E66FB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（十五）定点长护服务机构应将职业技能等级作为技能人才工资分配的重要参考，</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 w:bidi="ar"/>
        </w:rPr>
        <w:t>做到</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职业技能等级认定结果与技能人才使用相衔接。要及时采集统计持证技能人才信息，畅通职业发展通道，促进职业技能等级认定与培养使用待遇衔接。</w:t>
      </w:r>
    </w:p>
    <w:p w14:paraId="10C05C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（十六）定点长护服务机构应当在法律法规规定的目的和范围内收集、使用数据信息，遵守数据信息安全有关法律法规制度，保护参保人员隐私。</w:t>
      </w:r>
    </w:p>
    <w:p w14:paraId="0C6521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24"/>
        <w:jc w:val="both"/>
        <w:textAlignment w:val="baseline"/>
        <w:rPr>
          <w:rFonts w:hint="default" w:ascii="Times New Roman" w:hAnsi="Times New Roman" w:cs="Times New Roman"/>
          <w:i w:val="0"/>
          <w:iCs w:val="0"/>
          <w:caps w:val="0"/>
          <w:color w:val="000000"/>
          <w:spacing w:val="0"/>
          <w:sz w:val="32"/>
          <w:szCs w:val="32"/>
        </w:rPr>
      </w:pPr>
      <w:r>
        <w:rPr>
          <w:rFonts w:hint="eastAsia" w:ascii="仿宋" w:hAnsi="仿宋" w:eastAsia="仿宋" w:cs="仿宋"/>
          <w:b w:val="0"/>
          <w:bCs w:val="0"/>
          <w:i w:val="0"/>
          <w:iCs w:val="0"/>
          <w:caps w:val="0"/>
          <w:color w:val="000000"/>
          <w:spacing w:val="-3"/>
          <w:kern w:val="0"/>
          <w:sz w:val="32"/>
          <w:szCs w:val="32"/>
          <w:vertAlign w:val="baseline"/>
          <w:lang w:val="en-US" w:eastAsia="zh-CN" w:bidi="ar"/>
        </w:rPr>
        <w:t> </w:t>
      </w:r>
    </w:p>
    <w:p w14:paraId="52A59D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baseline"/>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t>第五章  经办服务管理</w:t>
      </w:r>
    </w:p>
    <w:p w14:paraId="5F75EE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24"/>
        <w:jc w:val="both"/>
        <w:textAlignment w:val="baseline"/>
        <w:rPr>
          <w:rFonts w:hint="default" w:ascii="Times New Roman" w:hAnsi="Times New Roman" w:cs="Times New Roman"/>
          <w:i w:val="0"/>
          <w:iCs w:val="0"/>
          <w:caps w:val="0"/>
          <w:color w:val="000000"/>
          <w:spacing w:val="0"/>
          <w:sz w:val="32"/>
          <w:szCs w:val="32"/>
        </w:rPr>
      </w:pPr>
      <w:r>
        <w:rPr>
          <w:rFonts w:hint="eastAsia" w:ascii="仿宋" w:hAnsi="仿宋" w:eastAsia="仿宋" w:cs="仿宋"/>
          <w:b w:val="0"/>
          <w:bCs w:val="0"/>
          <w:i w:val="0"/>
          <w:iCs w:val="0"/>
          <w:caps w:val="0"/>
          <w:color w:val="000000"/>
          <w:spacing w:val="-3"/>
          <w:kern w:val="0"/>
          <w:sz w:val="32"/>
          <w:szCs w:val="32"/>
          <w:vertAlign w:val="baseline"/>
          <w:lang w:val="en-US" w:eastAsia="zh-CN" w:bidi="ar"/>
        </w:rPr>
        <w:t> </w:t>
      </w:r>
    </w:p>
    <w:p w14:paraId="72F380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704"/>
        <w:jc w:val="both"/>
        <w:textAlignment w:val="baseline"/>
        <w:rPr>
          <w:rFonts w:hint="default" w:ascii="Times New Roman" w:hAnsi="Times New Roman" w:cs="Times New Roman"/>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t>第十九条</w:t>
      </w:r>
      <w:r>
        <w:rPr>
          <w:rFonts w:hint="eastAsia" w:ascii="黑体" w:hAnsi="宋体" w:eastAsia="黑体" w:cs="黑体"/>
          <w:b w:val="0"/>
          <w:bCs w:val="0"/>
          <w:i w:val="0"/>
          <w:iCs w:val="0"/>
          <w:caps w:val="0"/>
          <w:color w:val="000000"/>
          <w:spacing w:val="17"/>
          <w:kern w:val="0"/>
          <w:sz w:val="32"/>
          <w:szCs w:val="32"/>
          <w:vertAlign w:val="baseline"/>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各级医疗保障经办机构具有及时全面掌握定点长护服务机构运行管理情况，从定点长护服务机构获得长护保险费用审核、服务质量检查、绩效考核和财务记账等所需资料，对定点长护服务机构开展协议管理、违约处理、绩效考核与结果公开，对定点长护服务机构相关人员开展长护保险支付资格管理等权利。</w:t>
      </w:r>
    </w:p>
    <w:p w14:paraId="3241FD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704"/>
        <w:jc w:val="both"/>
        <w:textAlignment w:val="baseline"/>
        <w:rPr>
          <w:rFonts w:hint="default" w:ascii="Times New Roman" w:hAnsi="Times New Roman" w:cs="Times New Roman"/>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t>第二十条</w:t>
      </w:r>
      <w:r>
        <w:rPr>
          <w:rFonts w:hint="eastAsia" w:ascii="黑体" w:hAnsi="宋体" w:eastAsia="黑体" w:cs="黑体"/>
          <w:b w:val="0"/>
          <w:bCs w:val="0"/>
          <w:i w:val="0"/>
          <w:iCs w:val="0"/>
          <w:caps w:val="0"/>
          <w:color w:val="000000"/>
          <w:spacing w:val="17"/>
          <w:kern w:val="0"/>
          <w:sz w:val="32"/>
          <w:szCs w:val="32"/>
          <w:vertAlign w:val="baseline"/>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 医疗保障经办机构按照协议约定预留定点长护服务机构长护服务质量保证金，并根据该机构年度协议履行情况、考核结果等，进行质量保证金年度清算。</w:t>
      </w:r>
    </w:p>
    <w:p w14:paraId="098A86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704"/>
        <w:jc w:val="both"/>
        <w:textAlignment w:val="baseline"/>
        <w:rPr>
          <w:rFonts w:hint="default" w:ascii="Times New Roman" w:hAnsi="Times New Roman" w:cs="Times New Roman"/>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t>第二十一条</w:t>
      </w:r>
      <w:r>
        <w:rPr>
          <w:rFonts w:hint="eastAsia" w:ascii="黑体" w:hAnsi="宋体" w:eastAsia="黑体" w:cs="黑体"/>
          <w:b w:val="0"/>
          <w:bCs w:val="0"/>
          <w:i w:val="0"/>
          <w:iCs w:val="0"/>
          <w:caps w:val="0"/>
          <w:color w:val="000000"/>
          <w:spacing w:val="17"/>
          <w:kern w:val="0"/>
          <w:sz w:val="32"/>
          <w:szCs w:val="32"/>
          <w:vertAlign w:val="baseline"/>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各级医疗保障经办机构履行以下义务：</w:t>
      </w:r>
    </w:p>
    <w:p w14:paraId="3B10F1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一）各级医疗保障经办机构应当规范服务管理行为，优化定点申请、定点确定和协议管理等经办流程，对定点长护服务机构进行长护保险政策、管理制度、支付政策、操作流程等的宣传培训，提供长护保险政策和业务的咨询、查询服务，为定点长护服务机构和参保人员提供优质高效的经办服务。</w:t>
      </w:r>
    </w:p>
    <w:p w14:paraId="049FF5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（二）各级医疗保障经办机构应当建立健全内部控制制度，明确定点长护服务机构确定、费用审核、结算拨付等岗位责任，建立完善风险防控机制。</w:t>
      </w:r>
    </w:p>
    <w:p w14:paraId="3B6BCF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三）各级医疗保障经办机构应当落实长护保险支付政策，强化长护保险基金支出管理，通过智能审核、实时监控等方式及时审核长护服务费用，及时拨付符合规定的长护保险费用。参保人员长护服务费用中应当由长护保险基金支付的部分，由所在地医疗保障经办机构与定点长护服务机构直接结算。</w:t>
      </w:r>
    </w:p>
    <w:p w14:paraId="4B9C84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（四）各级医疗保障经办机构应当加强定点长护服务机构协议履行情况的考核，考核结果按规定与费用拨付、年终清算、协议续签等挂钩，考核情况报同级医疗保障行政部门。绩效考核相关规定由</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 w:bidi="ar"/>
        </w:rPr>
        <w:t>统筹地区医疗保障</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经办机构制定实施。</w:t>
      </w:r>
    </w:p>
    <w:p w14:paraId="4C9268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（五）各级医疗保障经办机构应当遵守数据信息安全有关法律法规制度，保护参保人员个人信息，确保长护保险数据安全。</w:t>
      </w:r>
    </w:p>
    <w:p w14:paraId="4AD035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704"/>
        <w:jc w:val="both"/>
        <w:textAlignment w:val="baseline"/>
        <w:rPr>
          <w:rFonts w:hint="default" w:ascii="Times New Roman" w:hAnsi="Times New Roman" w:cs="Times New Roman"/>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t>第二十二条</w:t>
      </w:r>
      <w:r>
        <w:rPr>
          <w:rFonts w:hint="eastAsia" w:ascii="仿宋" w:hAnsi="仿宋" w:eastAsia="仿宋" w:cs="仿宋"/>
          <w:b w:val="0"/>
          <w:bCs w:val="0"/>
          <w:i w:val="0"/>
          <w:iCs w:val="0"/>
          <w:caps w:val="0"/>
          <w:color w:val="000000"/>
          <w:spacing w:val="-3"/>
          <w:kern w:val="0"/>
          <w:sz w:val="32"/>
          <w:szCs w:val="32"/>
          <w:vertAlign w:val="baseline"/>
          <w:lang w:val="en-US" w:eastAsia="zh-CN" w:bidi="ar"/>
        </w:rPr>
        <w:t>　</w:t>
      </w:r>
      <w:r>
        <w:rPr>
          <w:rFonts w:hint="eastAsia" w:ascii="仿宋" w:hAnsi="仿宋" w:eastAsia="仿宋" w:cs="仿宋"/>
          <w:b w:val="0"/>
          <w:bCs w:val="0"/>
          <w:i w:val="0"/>
          <w:iCs w:val="0"/>
          <w:caps w:val="0"/>
          <w:color w:val="000000"/>
          <w:spacing w:val="-3"/>
          <w:kern w:val="0"/>
          <w:sz w:val="32"/>
          <w:szCs w:val="32"/>
          <w:vertAlign w:val="baseline"/>
          <w:lang w:val="en-US" w:eastAsia="zh" w:bidi="ar"/>
        </w:rPr>
        <w:t>推进</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 w:bidi="ar"/>
        </w:rPr>
        <w:t>长护保险异地长护服务费用联网结算，具体</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按长护保险异地结算</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 w:bidi="ar"/>
        </w:rPr>
        <w:t>规程执行</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。长护保险异地结算</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 w:bidi="ar"/>
        </w:rPr>
        <w:t>规程</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由省级医疗保障经办机构另行制定。</w:t>
      </w:r>
    </w:p>
    <w:p w14:paraId="7E3E67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704"/>
        <w:jc w:val="both"/>
        <w:textAlignment w:val="baseline"/>
        <w:rPr>
          <w:rFonts w:hint="default" w:ascii="Times New Roman" w:hAnsi="Times New Roman" w:cs="Times New Roman"/>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t>第二十三条</w:t>
      </w:r>
      <w:r>
        <w:rPr>
          <w:rFonts w:hint="eastAsia" w:ascii="黑体" w:hAnsi="宋体" w:eastAsia="黑体" w:cs="黑体"/>
          <w:b w:val="0"/>
          <w:bCs w:val="0"/>
          <w:i w:val="0"/>
          <w:iCs w:val="0"/>
          <w:caps w:val="0"/>
          <w:color w:val="000000"/>
          <w:spacing w:val="17"/>
          <w:kern w:val="0"/>
          <w:sz w:val="32"/>
          <w:szCs w:val="32"/>
          <w:vertAlign w:val="baseline"/>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各级医疗保障经办机构发现定点长护服务机构存在违反协议约定情形的，可相应采取以下处理方式：</w:t>
      </w:r>
    </w:p>
    <w:p w14:paraId="1BA22C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（一）公开违反协议约定情形。</w:t>
      </w:r>
    </w:p>
    <w:p w14:paraId="6A443F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（二）约谈定点长护服务机构法定代表人、主要负责人或者实际控制人。</w:t>
      </w:r>
    </w:p>
    <w:p w14:paraId="7ABFB7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（三）暂停新增长护保险服务对象。</w:t>
      </w:r>
    </w:p>
    <w:p w14:paraId="6AA5B4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（四）暂停或者不予拨付长护保险费用。</w:t>
      </w:r>
    </w:p>
    <w:p w14:paraId="486BD7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（五）追回已支付的违规长护保险费用。</w:t>
      </w:r>
    </w:p>
    <w:p w14:paraId="471FDD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（六）要求定点长护服务机构按照协议约定支付违约金。</w:t>
      </w:r>
    </w:p>
    <w:p w14:paraId="6D6030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（七）中止相关责任方（人员）提供涉及长护保险基金使用的服务。</w:t>
      </w:r>
    </w:p>
    <w:p w14:paraId="01845A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（八）中止或者解除长护协议。</w:t>
      </w:r>
    </w:p>
    <w:p w14:paraId="0D60B8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704"/>
        <w:jc w:val="both"/>
        <w:textAlignment w:val="baseline"/>
        <w:rPr>
          <w:rFonts w:hint="default" w:ascii="Times New Roman" w:hAnsi="Times New Roman" w:cs="Times New Roman"/>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t>第二十四条</w:t>
      </w:r>
      <w:r>
        <w:rPr>
          <w:rFonts w:hint="eastAsia" w:ascii="黑体" w:hAnsi="宋体" w:eastAsia="黑体" w:cs="黑体"/>
          <w:b w:val="0"/>
          <w:bCs w:val="0"/>
          <w:i w:val="0"/>
          <w:iCs w:val="0"/>
          <w:caps w:val="0"/>
          <w:color w:val="000000"/>
          <w:spacing w:val="17"/>
          <w:kern w:val="0"/>
          <w:sz w:val="32"/>
          <w:szCs w:val="32"/>
          <w:vertAlign w:val="baseline"/>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各级医疗保障经办机构违反长护协议的，定点长护服务机构有权要求纠正，或者提请医疗保障经办机构同级医疗保障行政部门协调处理、督促整改，也可以依法申请行政复议或者提起行政诉讼。</w:t>
      </w:r>
    </w:p>
    <w:p w14:paraId="20FAB8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704"/>
        <w:jc w:val="both"/>
        <w:textAlignment w:val="baseline"/>
        <w:rPr>
          <w:rFonts w:hint="default" w:ascii="Times New Roman" w:hAnsi="Times New Roman" w:cs="Times New Roman"/>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t>第二十五条</w:t>
      </w:r>
      <w:r>
        <w:rPr>
          <w:rFonts w:hint="eastAsia" w:ascii="黑体" w:hAnsi="宋体" w:eastAsia="黑体" w:cs="黑体"/>
          <w:b w:val="0"/>
          <w:bCs w:val="0"/>
          <w:i w:val="0"/>
          <w:iCs w:val="0"/>
          <w:caps w:val="0"/>
          <w:color w:val="000000"/>
          <w:spacing w:val="17"/>
          <w:kern w:val="0"/>
          <w:sz w:val="32"/>
          <w:szCs w:val="32"/>
          <w:vertAlign w:val="baseline"/>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医疗保障行政部门发现区域内医疗保障经办机构存在违反长护协议的，可视情节予以约谈、限期整改、公开违反协议约定情形等，对相关责任人员应依法依规给予处理。医疗保障行政部门发现经办机构违反相关法律法规和规章的，应依法依规进行处理。</w:t>
      </w:r>
    </w:p>
    <w:p w14:paraId="7B73E9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24"/>
        <w:jc w:val="both"/>
        <w:textAlignment w:val="baseline"/>
        <w:rPr>
          <w:rFonts w:hint="default" w:ascii="Times New Roman" w:hAnsi="Times New Roman" w:cs="Times New Roman"/>
          <w:i w:val="0"/>
          <w:iCs w:val="0"/>
          <w:caps w:val="0"/>
          <w:color w:val="000000"/>
          <w:spacing w:val="0"/>
          <w:sz w:val="32"/>
          <w:szCs w:val="32"/>
        </w:rPr>
      </w:pPr>
      <w:r>
        <w:rPr>
          <w:rFonts w:hint="eastAsia" w:ascii="仿宋" w:hAnsi="仿宋" w:eastAsia="仿宋" w:cs="仿宋"/>
          <w:b w:val="0"/>
          <w:bCs w:val="0"/>
          <w:i w:val="0"/>
          <w:iCs w:val="0"/>
          <w:caps w:val="0"/>
          <w:color w:val="000000"/>
          <w:spacing w:val="-3"/>
          <w:kern w:val="0"/>
          <w:sz w:val="32"/>
          <w:szCs w:val="32"/>
          <w:vertAlign w:val="baseline"/>
          <w:lang w:val="en-US" w:eastAsia="zh-CN" w:bidi="ar"/>
        </w:rPr>
        <w:t> </w:t>
      </w:r>
    </w:p>
    <w:p w14:paraId="68D1BC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baseline"/>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t>第六章  定点长护服务机构动态管理</w:t>
      </w:r>
    </w:p>
    <w:p w14:paraId="1246DE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24"/>
        <w:jc w:val="both"/>
        <w:textAlignment w:val="baseline"/>
        <w:rPr>
          <w:rFonts w:hint="default" w:ascii="Times New Roman" w:hAnsi="Times New Roman" w:cs="Times New Roman"/>
          <w:i w:val="0"/>
          <w:iCs w:val="0"/>
          <w:caps w:val="0"/>
          <w:color w:val="000000"/>
          <w:spacing w:val="0"/>
          <w:sz w:val="32"/>
          <w:szCs w:val="32"/>
        </w:rPr>
      </w:pPr>
      <w:r>
        <w:rPr>
          <w:rFonts w:hint="eastAsia" w:ascii="仿宋" w:hAnsi="仿宋" w:eastAsia="仿宋" w:cs="仿宋"/>
          <w:b w:val="0"/>
          <w:bCs w:val="0"/>
          <w:i w:val="0"/>
          <w:iCs w:val="0"/>
          <w:caps w:val="0"/>
          <w:color w:val="000000"/>
          <w:spacing w:val="-3"/>
          <w:kern w:val="0"/>
          <w:sz w:val="32"/>
          <w:szCs w:val="32"/>
          <w:vertAlign w:val="baseline"/>
          <w:lang w:val="en-US" w:eastAsia="zh-CN" w:bidi="ar"/>
        </w:rPr>
        <w:t> </w:t>
      </w:r>
    </w:p>
    <w:p w14:paraId="4543A8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704"/>
        <w:jc w:val="both"/>
        <w:textAlignment w:val="baseline"/>
        <w:rPr>
          <w:rFonts w:hint="default" w:ascii="Times New Roman" w:hAnsi="Times New Roman" w:cs="Times New Roman"/>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t>第二十六条</w:t>
      </w:r>
      <w:r>
        <w:rPr>
          <w:rFonts w:hint="eastAsia" w:ascii="黑体" w:hAnsi="宋体" w:eastAsia="黑体" w:cs="黑体"/>
          <w:b w:val="0"/>
          <w:bCs w:val="0"/>
          <w:i w:val="0"/>
          <w:iCs w:val="0"/>
          <w:caps w:val="0"/>
          <w:color w:val="000000"/>
          <w:spacing w:val="17"/>
          <w:kern w:val="0"/>
          <w:sz w:val="32"/>
          <w:szCs w:val="32"/>
          <w:vertAlign w:val="baseline"/>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定点长护服务机构名称、等级、法定代表人、主要负责人或者实际控制人、注册地址、机构性质和类别、核定床位数（护理床位）、服务类型、服务内容等重大信息发生变更的，应当自有关部门批准、备案或者发生变更之日起</w:t>
      </w: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30</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个工作日内向所在地医疗保障经办机构提出变更申请，其他一般信息变更应当及时告知。</w:t>
      </w:r>
    </w:p>
    <w:p w14:paraId="1DF204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定点长护服务机构因违法违规被调查、处理期间不得申请变更信息。</w:t>
      </w:r>
    </w:p>
    <w:p w14:paraId="3A304F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定点长护服务机构法定代表人除因上级机关任免、丧失民事行为能力原因外发生变更的，应当参照定点流程重新申请定点管理。</w:t>
      </w:r>
    </w:p>
    <w:p w14:paraId="41A5D7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704"/>
        <w:jc w:val="both"/>
        <w:textAlignment w:val="baseline"/>
        <w:rPr>
          <w:rFonts w:hint="default" w:ascii="Times New Roman" w:hAnsi="Times New Roman" w:cs="Times New Roman"/>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t>第二十七条</w:t>
      </w:r>
      <w:r>
        <w:rPr>
          <w:rFonts w:hint="eastAsia" w:ascii="黑体" w:hAnsi="宋体" w:eastAsia="黑体" w:cs="黑体"/>
          <w:b w:val="0"/>
          <w:bCs w:val="0"/>
          <w:i w:val="0"/>
          <w:iCs w:val="0"/>
          <w:caps w:val="0"/>
          <w:color w:val="000000"/>
          <w:spacing w:val="17"/>
          <w:kern w:val="0"/>
          <w:sz w:val="32"/>
          <w:szCs w:val="32"/>
          <w:vertAlign w:val="baseline"/>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协议续签由定点长护服务机构提前</w:t>
      </w: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3</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个月向</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 w:bidi="ar"/>
        </w:rPr>
        <w:t>统筹地区</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医疗保障经办机构提出申请。医疗保障经办机构和定点长护服务机构就协议续签事宜进行协商谈判，双方根据协议履行和考核情况等决定是否续签。协商一致的可以续签协议，未达成一致的，协议到期后自动终止。</w:t>
      </w:r>
    </w:p>
    <w:p w14:paraId="34D3D1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704"/>
        <w:jc w:val="both"/>
        <w:textAlignment w:val="baseline"/>
        <w:rPr>
          <w:rFonts w:hint="default" w:ascii="Times New Roman" w:hAnsi="Times New Roman" w:cs="Times New Roman"/>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t>第二十八条</w:t>
      </w:r>
      <w:r>
        <w:rPr>
          <w:rFonts w:hint="eastAsia" w:ascii="黑体" w:hAnsi="宋体" w:eastAsia="黑体" w:cs="黑体"/>
          <w:b w:val="0"/>
          <w:bCs w:val="0"/>
          <w:i w:val="0"/>
          <w:iCs w:val="0"/>
          <w:caps w:val="0"/>
          <w:color w:val="000000"/>
          <w:spacing w:val="17"/>
          <w:kern w:val="0"/>
          <w:sz w:val="32"/>
          <w:szCs w:val="32"/>
          <w:vertAlign w:val="baseline"/>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协议中止是指医疗保障经办机构与定点长护服务机构暂停履行长护协议约定，中止期间发生的长护保险费用不予结算。中止时间原则上不超过</w:t>
      </w: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6</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个月。中止期结束时，长护协议未到期的继续履行，长护协议到期的自动终止。</w:t>
      </w:r>
    </w:p>
    <w:p w14:paraId="7176FF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定点长护服务机构可提出中止长护协议申请，经经办机构同意，可以中止协议，但中止时间原则上不得超过</w:t>
      </w: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6</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个月，定点长护服务机构在协议中止超过</w:t>
      </w: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6</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个月仍未提出继续履行协议申请的，原则上协议自动终止。协议中止期间，定点长护服务机构应做好解释告知工作并为服务对象做好护理服务衔接。中止期满未恢复正常服务的，医疗保障经办机构应当解除其长护协议。</w:t>
      </w:r>
    </w:p>
    <w:p w14:paraId="19DE8A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定点长护服务机构中止长护协议后，如需恢复协议，应当在中止期满前</w:t>
      </w: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15</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个工作日内向医疗保障经办机构提出恢复协议申请。医疗保障经办机构应当在收到申请后的</w:t>
      </w: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15</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个工作日内进行验收，验收合格的可恢复长护协议。</w:t>
      </w:r>
    </w:p>
    <w:p w14:paraId="6A48B8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定点长护服务机构有下列情形之一的，医疗保障经办机构应当中止协议：</w:t>
      </w:r>
    </w:p>
    <w:p w14:paraId="507723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（一）重大信息发生变更且未在规定时限内提出变更申请。</w:t>
      </w:r>
    </w:p>
    <w:p w14:paraId="2BCBD1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（二）未按规定向医疗保障行政部门或者医疗保障经办机构提供所需信息或者提供的信息不真实。</w:t>
      </w:r>
    </w:p>
    <w:p w14:paraId="65829D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（三）对长护保险基金安全或者参保人员权益可能造成重大风险。</w:t>
      </w:r>
    </w:p>
    <w:p w14:paraId="701EB6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（四）未完全履行协议被要求限期整改，未能在限期内完成整改且经两次以上约谈仍不能完成整改。</w:t>
      </w:r>
    </w:p>
    <w:p w14:paraId="2D28F5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（五）根据长护协议约定应当中止协议。</w:t>
      </w:r>
    </w:p>
    <w:p w14:paraId="503D5E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（六）法律法规和规章规定应当中止的其他情形。</w:t>
      </w:r>
    </w:p>
    <w:p w14:paraId="690034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704"/>
        <w:jc w:val="both"/>
        <w:textAlignment w:val="baseline"/>
        <w:rPr>
          <w:rFonts w:hint="default" w:ascii="Times New Roman" w:hAnsi="Times New Roman" w:cs="Times New Roman"/>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t>第二十九条</w:t>
      </w:r>
      <w:r>
        <w:rPr>
          <w:rFonts w:hint="eastAsia" w:ascii="黑体" w:hAnsi="宋体" w:eastAsia="黑体" w:cs="黑体"/>
          <w:b w:val="0"/>
          <w:bCs w:val="0"/>
          <w:i w:val="0"/>
          <w:iCs w:val="0"/>
          <w:caps w:val="0"/>
          <w:color w:val="000000"/>
          <w:spacing w:val="17"/>
          <w:kern w:val="0"/>
          <w:sz w:val="32"/>
          <w:szCs w:val="32"/>
          <w:vertAlign w:val="baseline"/>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协议解除是指医疗保障经办机构与定点长护服务机构之间的协议关系不再存续，长护协议解除后产生的长护费用，长护保险基金不再予以结算。</w:t>
      </w:r>
    </w:p>
    <w:p w14:paraId="5B2FB2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定点长护服务机构有下列情形之一的，医疗保障经办机构应当解除协议。</w:t>
      </w:r>
    </w:p>
    <w:p w14:paraId="545B97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（一）超出执业许可范围或者地址开展长护服务。</w:t>
      </w:r>
    </w:p>
    <w:p w14:paraId="676FFF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（二）医疗机构执业许可证、诊所备案凭证、养老机构登记证书、备案回执、营业执照等资质文件注销、被吊销、年检不合格、过期失效等，或者营业执照变更后经营范围不符合本办法第六条规定的条件。</w:t>
      </w:r>
    </w:p>
    <w:p w14:paraId="7A4974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（三）因买卖、转让、重组等情形导致经营主体发生重大变化，严重影响协议履行。</w:t>
      </w:r>
    </w:p>
    <w:p w14:paraId="7973A5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（四）法定代表人、主要负责人或者实际控制人不能履行协议，或者有严重违法失信行为。</w:t>
      </w:r>
    </w:p>
    <w:p w14:paraId="4210BA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（五）以弄虚作假等不正当手段申请取得定点管理资质或资格。</w:t>
      </w:r>
    </w:p>
    <w:p w14:paraId="3BDFF5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（六）</w:t>
      </w: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12</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个月内累计</w:t>
      </w: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2</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次中止协议，或者中止协议期间整改不到位。</w:t>
      </w:r>
    </w:p>
    <w:p w14:paraId="7B528E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（七）以虚假宣传、利益诱导等手段进行服务促销且情节恶劣。</w:t>
      </w:r>
    </w:p>
    <w:p w14:paraId="0E8760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（八）拒绝、阻挠监督检查或者因违反长护保险政策规定造成恶劣影响被医疗保障、审计等部门处理。</w:t>
      </w:r>
    </w:p>
    <w:p w14:paraId="61504C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（九）以伪造或者变造的护理服务记录、账目、费用单据、上传数据、会计凭证、电子信息等有关资料，进行长护保险费用结算。</w:t>
      </w:r>
    </w:p>
    <w:p w14:paraId="4D688E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（十）诱导、协助、串通他人冒名提供虚假证明材料进行长护保险费用结算。</w:t>
      </w:r>
    </w:p>
    <w:p w14:paraId="7D175B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（十一）为其他长护服务机构或者其服务对象提供长护保险费用结算，出借长护保险相关资质或者资格。</w:t>
      </w:r>
    </w:p>
    <w:p w14:paraId="055070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（十二）经查实有欺诈骗保行为。</w:t>
      </w:r>
    </w:p>
    <w:p w14:paraId="08BE02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（十三）恶意破坏长护保险相关信息管理系统，造成系统瘫痪或者数据丢失等严重后果。</w:t>
      </w:r>
    </w:p>
    <w:p w14:paraId="3AC6F1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（十四）未依法履行医疗保障行政部门作出的行政处罚决定。</w:t>
      </w:r>
    </w:p>
    <w:p w14:paraId="323E40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（十五）自愿提出解除协议并经协商一致。</w:t>
      </w:r>
    </w:p>
    <w:p w14:paraId="57AE1F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（十六）未按规定完成长护服务协议履行准备工作，未按规定参加绩效考核或者绩效考核不合格。</w:t>
      </w:r>
    </w:p>
    <w:p w14:paraId="4492C5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（十七）根据协议约定应当解除长护协议。</w:t>
      </w:r>
    </w:p>
    <w:p w14:paraId="16834F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（十八）法律法规和规章规定应当解除的其他情形。</w:t>
      </w:r>
    </w:p>
    <w:p w14:paraId="015211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出现第</w:t>
      </w: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4</w:t>
      </w:r>
      <w:r>
        <w:rPr>
          <w:rFonts w:hint="eastAsia" w:ascii="Times New Roman" w:hAnsi="Times New Roman" w:cs="Times New Roman"/>
          <w:b w:val="0"/>
          <w:bCs w:val="0"/>
          <w:i w:val="0"/>
          <w:iCs w:val="0"/>
          <w:caps w:val="0"/>
          <w:color w:val="000000"/>
          <w:spacing w:val="0"/>
          <w:kern w:val="0"/>
          <w:sz w:val="32"/>
          <w:szCs w:val="32"/>
          <w:vertAlign w:val="baseline"/>
          <w:lang w:val="en-US" w:eastAsia="zh" w:bidi="ar"/>
        </w:rPr>
        <w:t>—</w:t>
      </w: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14</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条情形之一的，医疗保障经办机构解除协议后，</w:t>
      </w: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3</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年内不再受理</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 w:bidi="ar"/>
        </w:rPr>
        <w:t>长护服务机构的</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定点申请。</w:t>
      </w:r>
    </w:p>
    <w:p w14:paraId="146691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704"/>
        <w:jc w:val="both"/>
        <w:textAlignment w:val="baseline"/>
        <w:rPr>
          <w:rFonts w:hint="default" w:ascii="Times New Roman" w:hAnsi="Times New Roman" w:cs="Times New Roman"/>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t>第三十条</w:t>
      </w:r>
      <w:r>
        <w:rPr>
          <w:rFonts w:hint="eastAsia" w:ascii="黑体" w:hAnsi="宋体" w:eastAsia="黑体" w:cs="黑体"/>
          <w:b w:val="0"/>
          <w:bCs w:val="0"/>
          <w:i w:val="0"/>
          <w:iCs w:val="0"/>
          <w:caps w:val="0"/>
          <w:color w:val="000000"/>
          <w:spacing w:val="17"/>
          <w:kern w:val="0"/>
          <w:sz w:val="32"/>
          <w:szCs w:val="32"/>
          <w:vertAlign w:val="baseline"/>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定点长护服务机构自愿中止、解除协议或者不再续签协议的，应当提前</w:t>
      </w: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3</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个月向所在地医疗保障经办机构提出申请。</w:t>
      </w:r>
    </w:p>
    <w:p w14:paraId="494884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704"/>
        <w:jc w:val="both"/>
        <w:textAlignment w:val="baseline"/>
        <w:rPr>
          <w:rFonts w:hint="default" w:ascii="Times New Roman" w:hAnsi="Times New Roman" w:cs="Times New Roman"/>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t>第三十一条</w:t>
      </w:r>
      <w:r>
        <w:rPr>
          <w:rFonts w:hint="eastAsia" w:ascii="黑体" w:hAnsi="宋体" w:eastAsia="黑体" w:cs="黑体"/>
          <w:b w:val="0"/>
          <w:bCs w:val="0"/>
          <w:i w:val="0"/>
          <w:iCs w:val="0"/>
          <w:caps w:val="0"/>
          <w:color w:val="000000"/>
          <w:spacing w:val="17"/>
          <w:kern w:val="0"/>
          <w:sz w:val="32"/>
          <w:szCs w:val="32"/>
          <w:vertAlign w:val="baseline"/>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定点长护服务机构和</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 w:bidi="ar"/>
        </w:rPr>
        <w:t>统筹地区</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医疗保障经办机构在协议签订、履行、变更和解除时发生争议的，可以通过协商解决或者请求同级医疗保障行政部门协调处理，也可以依法申请行政复议或者提起行政诉讼。</w:t>
      </w:r>
    </w:p>
    <w:p w14:paraId="6B807A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704"/>
        <w:jc w:val="both"/>
        <w:textAlignment w:val="baseline"/>
        <w:rPr>
          <w:rFonts w:hint="default" w:ascii="Times New Roman" w:hAnsi="Times New Roman" w:cs="Times New Roman"/>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t>第三十二条</w:t>
      </w:r>
      <w:r>
        <w:rPr>
          <w:rFonts w:hint="eastAsia" w:ascii="黑体" w:hAnsi="宋体" w:eastAsia="黑体" w:cs="黑体"/>
          <w:b w:val="0"/>
          <w:bCs w:val="0"/>
          <w:i w:val="0"/>
          <w:iCs w:val="0"/>
          <w:caps w:val="0"/>
          <w:color w:val="000000"/>
          <w:spacing w:val="17"/>
          <w:kern w:val="0"/>
          <w:sz w:val="32"/>
          <w:szCs w:val="32"/>
          <w:vertAlign w:val="baseline"/>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各级医疗保障经办机构应当将中止、解除协议的定点长护服务机构基本信息及时报同级医疗保障行政部门备案，向社会公布中止、解除协议的定点长护服务机构名单，并督促长护服务机构做好参保人员服务转接工作。</w:t>
      </w:r>
    </w:p>
    <w:p w14:paraId="4A7522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704"/>
        <w:jc w:val="both"/>
        <w:textAlignment w:val="baseline"/>
        <w:rPr>
          <w:rFonts w:hint="default" w:ascii="Times New Roman" w:hAnsi="Times New Roman" w:cs="Times New Roman"/>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t>第三十三条</w:t>
      </w:r>
      <w:r>
        <w:rPr>
          <w:rFonts w:hint="eastAsia" w:ascii="黑体" w:hAnsi="宋体" w:eastAsia="黑体" w:cs="黑体"/>
          <w:b w:val="0"/>
          <w:bCs w:val="0"/>
          <w:i w:val="0"/>
          <w:iCs w:val="0"/>
          <w:caps w:val="0"/>
          <w:color w:val="000000"/>
          <w:spacing w:val="17"/>
          <w:kern w:val="0"/>
          <w:sz w:val="32"/>
          <w:szCs w:val="32"/>
          <w:vertAlign w:val="baseline"/>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解除协议的定点长护服务机构应当及时撤除定点标识。定点长护服务机构应及时将中止、解除协议等情况告知参保服务对象，保障参保服务对象知情权。</w:t>
      </w:r>
    </w:p>
    <w:p w14:paraId="26083E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因定点长护服务机构未履行本机构长护服务信息、协议管理状态等告知义务，造成参保服务对象损失的，由定点长护服务机构承担。</w:t>
      </w:r>
    </w:p>
    <w:p w14:paraId="554D02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704"/>
        <w:jc w:val="both"/>
        <w:textAlignment w:val="baseline"/>
        <w:rPr>
          <w:rFonts w:hint="default" w:ascii="Times New Roman" w:hAnsi="Times New Roman" w:cs="Times New Roman"/>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t>第三十四条</w:t>
      </w:r>
      <w:r>
        <w:rPr>
          <w:rFonts w:hint="eastAsia" w:ascii="黑体" w:hAnsi="宋体" w:eastAsia="黑体" w:cs="黑体"/>
          <w:b w:val="0"/>
          <w:bCs w:val="0"/>
          <w:i w:val="0"/>
          <w:iCs w:val="0"/>
          <w:caps w:val="0"/>
          <w:color w:val="000000"/>
          <w:spacing w:val="17"/>
          <w:kern w:val="0"/>
          <w:sz w:val="32"/>
          <w:szCs w:val="32"/>
          <w:vertAlign w:val="baseline"/>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定点长护服务机构违反相关规定造成长护保险基金重大损失或者其他严重不良社会影响的，应依照《国家医疗保障局办公室关于印发〈长期护理保险护理服务机构定点管理办法（试行）〉的通知》（医保办发〔</w:t>
      </w: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2024</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w:t>
      </w: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21</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号）第四十五条有关规定，追究其相关责任。涉嫌构成犯罪的，移送司法机关依法追究相关责任。</w:t>
      </w:r>
    </w:p>
    <w:p w14:paraId="50CCA5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704"/>
        <w:jc w:val="both"/>
        <w:textAlignment w:val="baseline"/>
        <w:rPr>
          <w:rFonts w:hint="default" w:ascii="Times New Roman" w:hAnsi="Times New Roman" w:cs="Times New Roman"/>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t>第三十五条</w:t>
      </w:r>
      <w:r>
        <w:rPr>
          <w:rFonts w:hint="eastAsia" w:ascii="黑体" w:hAnsi="宋体" w:eastAsia="黑体" w:cs="黑体"/>
          <w:b w:val="0"/>
          <w:bCs w:val="0"/>
          <w:i w:val="0"/>
          <w:iCs w:val="0"/>
          <w:caps w:val="0"/>
          <w:color w:val="000000"/>
          <w:spacing w:val="17"/>
          <w:kern w:val="0"/>
          <w:sz w:val="32"/>
          <w:szCs w:val="32"/>
          <w:vertAlign w:val="baseline"/>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涉及暂停长护保险相关资格、暂停或者不予拨付费用、被限制从业的机构或者人员，处理期满后向统筹地区医疗保障经办机构提出恢复申请，经定点确定程序通过后，符合《国家医疗保障局办公室关于印发〈长期护理保险护理服务机构定点管理办法（试行）〉的通知》（医保办发〔</w:t>
      </w:r>
      <w:r>
        <w:rPr>
          <w:rFonts w:hint="default" w:ascii="Times New Roman" w:hAnsi="Times New Roman" w:eastAsia="方正仿宋_GBK" w:cs="Times New Roman"/>
          <w:b w:val="0"/>
          <w:bCs w:val="0"/>
          <w:i w:val="0"/>
          <w:iCs w:val="0"/>
          <w:caps w:val="0"/>
          <w:color w:val="000000"/>
          <w:spacing w:val="0"/>
          <w:kern w:val="0"/>
          <w:sz w:val="32"/>
          <w:szCs w:val="32"/>
          <w:vertAlign w:val="baseline"/>
          <w:lang w:val="en-US" w:eastAsia="zh-CN" w:bidi="ar"/>
        </w:rPr>
        <w:t>2024</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w:t>
      </w:r>
      <w:r>
        <w:rPr>
          <w:rFonts w:hint="default" w:ascii="Times New Roman" w:hAnsi="Times New Roman" w:eastAsia="方正仿宋_GBK" w:cs="Times New Roman"/>
          <w:b w:val="0"/>
          <w:bCs w:val="0"/>
          <w:i w:val="0"/>
          <w:iCs w:val="0"/>
          <w:caps w:val="0"/>
          <w:color w:val="000000"/>
          <w:spacing w:val="0"/>
          <w:kern w:val="0"/>
          <w:sz w:val="32"/>
          <w:szCs w:val="32"/>
          <w:vertAlign w:val="baseline"/>
          <w:lang w:val="en-US" w:eastAsia="zh-CN" w:bidi="ar"/>
        </w:rPr>
        <w:t>21</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号）规定条件的，予以恢复长护保险基金使用或者从业资格。</w:t>
      </w:r>
    </w:p>
    <w:p w14:paraId="5416FF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24"/>
        <w:jc w:val="both"/>
        <w:textAlignment w:val="baseline"/>
        <w:rPr>
          <w:rFonts w:hint="default" w:ascii="Times New Roman" w:hAnsi="Times New Roman" w:cs="Times New Roman"/>
          <w:i w:val="0"/>
          <w:iCs w:val="0"/>
          <w:caps w:val="0"/>
          <w:color w:val="000000"/>
          <w:spacing w:val="0"/>
          <w:sz w:val="32"/>
          <w:szCs w:val="32"/>
        </w:rPr>
      </w:pPr>
      <w:r>
        <w:rPr>
          <w:rFonts w:hint="eastAsia" w:ascii="仿宋" w:hAnsi="仿宋" w:eastAsia="仿宋" w:cs="仿宋"/>
          <w:b w:val="0"/>
          <w:bCs w:val="0"/>
          <w:i w:val="0"/>
          <w:iCs w:val="0"/>
          <w:caps w:val="0"/>
          <w:color w:val="000000"/>
          <w:spacing w:val="-3"/>
          <w:kern w:val="0"/>
          <w:sz w:val="32"/>
          <w:szCs w:val="32"/>
          <w:vertAlign w:val="baseline"/>
          <w:lang w:val="en-US" w:eastAsia="zh-CN" w:bidi="ar"/>
        </w:rPr>
        <w:t> </w:t>
      </w:r>
    </w:p>
    <w:p w14:paraId="608EDD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baseline"/>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t>第七章  监督管理</w:t>
      </w:r>
    </w:p>
    <w:p w14:paraId="6CB7F1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24"/>
        <w:jc w:val="both"/>
        <w:textAlignment w:val="baseline"/>
        <w:rPr>
          <w:rFonts w:hint="default" w:ascii="Times New Roman" w:hAnsi="Times New Roman" w:cs="Times New Roman"/>
          <w:i w:val="0"/>
          <w:iCs w:val="0"/>
          <w:caps w:val="0"/>
          <w:color w:val="000000"/>
          <w:spacing w:val="0"/>
          <w:sz w:val="32"/>
          <w:szCs w:val="32"/>
        </w:rPr>
      </w:pPr>
      <w:r>
        <w:rPr>
          <w:rFonts w:hint="eastAsia" w:ascii="仿宋" w:hAnsi="仿宋" w:eastAsia="仿宋" w:cs="仿宋"/>
          <w:b w:val="0"/>
          <w:bCs w:val="0"/>
          <w:i w:val="0"/>
          <w:iCs w:val="0"/>
          <w:caps w:val="0"/>
          <w:color w:val="000000"/>
          <w:spacing w:val="-3"/>
          <w:kern w:val="0"/>
          <w:sz w:val="32"/>
          <w:szCs w:val="32"/>
          <w:vertAlign w:val="baseline"/>
          <w:lang w:val="en-US" w:eastAsia="zh-CN" w:bidi="ar"/>
        </w:rPr>
        <w:t> </w:t>
      </w:r>
    </w:p>
    <w:p w14:paraId="6FF8ED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704"/>
        <w:jc w:val="both"/>
        <w:textAlignment w:val="baseline"/>
        <w:rPr>
          <w:rFonts w:hint="default" w:ascii="Times New Roman" w:hAnsi="Times New Roman" w:cs="Times New Roman"/>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t>第三十六条</w:t>
      </w:r>
      <w:r>
        <w:rPr>
          <w:rFonts w:hint="eastAsia" w:ascii="黑体" w:hAnsi="宋体" w:eastAsia="黑体" w:cs="黑体"/>
          <w:b w:val="0"/>
          <w:bCs w:val="0"/>
          <w:i w:val="0"/>
          <w:iCs w:val="0"/>
          <w:caps w:val="0"/>
          <w:color w:val="000000"/>
          <w:spacing w:val="17"/>
          <w:kern w:val="0"/>
          <w:sz w:val="32"/>
          <w:szCs w:val="32"/>
          <w:vertAlign w:val="baseline"/>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医疗保障行政部门对区域内医疗保障经办机构定点申请受理、定点确定、协议签订及履行、长护保险费用审核和拨付、内部控制制度建设等进行监督和指导。</w:t>
      </w:r>
    </w:p>
    <w:p w14:paraId="1B3866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医疗保障行政部门依法依规通过实地检查、抽查、智能监控、大数据分析等方式对定点长护服务机构协议履行情况、长护保险基金使用情况、长护服务行为、购买涉及长护保险基金使用的第三方服务等进行监督。</w:t>
      </w:r>
    </w:p>
    <w:p w14:paraId="0BFD84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医疗保障行政部门根据需要，可以联合相关部门开展联合执法检查，建立综合监管工作机制，形成监管合力，协调解决监管难点问题。</w:t>
      </w:r>
    </w:p>
    <w:p w14:paraId="44974B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704"/>
        <w:jc w:val="both"/>
        <w:textAlignment w:val="baseline"/>
        <w:rPr>
          <w:rFonts w:hint="default" w:ascii="Times New Roman" w:hAnsi="Times New Roman" w:cs="Times New Roman"/>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t>第三十七条</w:t>
      </w:r>
      <w:r>
        <w:rPr>
          <w:rFonts w:hint="eastAsia" w:ascii="黑体" w:hAnsi="宋体" w:eastAsia="黑体" w:cs="黑体"/>
          <w:b w:val="0"/>
          <w:bCs w:val="0"/>
          <w:i w:val="0"/>
          <w:iCs w:val="0"/>
          <w:caps w:val="0"/>
          <w:color w:val="000000"/>
          <w:spacing w:val="17"/>
          <w:kern w:val="0"/>
          <w:sz w:val="32"/>
          <w:szCs w:val="32"/>
          <w:vertAlign w:val="baseline"/>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各级医疗保障经办机构发现定点长护服务机构存在违约行为，应当及时按照协议予以处理。</w:t>
      </w:r>
    </w:p>
    <w:p w14:paraId="1B8AC3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各级医疗保障经办机构作出中止或者解除协议、对定点长护服务机构相关责任方（人员）暂停长护保险基金支付资格或者限制一定期限从事长护保险服务等处理时，应当及时报告同级医疗保障行政部门。</w:t>
      </w:r>
    </w:p>
    <w:p w14:paraId="3BFA21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医疗保障行政部门发现定点长护服务机构存在违约情形的，应当及时责令医疗保障经办机构按照长护协议处理，医疗保障经办机构应当及时按照长护协议处理。</w:t>
      </w:r>
    </w:p>
    <w:p w14:paraId="0A960E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704"/>
        <w:jc w:val="both"/>
        <w:textAlignment w:val="baseline"/>
        <w:rPr>
          <w:rFonts w:hint="default" w:ascii="Times New Roman" w:hAnsi="Times New Roman" w:cs="Times New Roman"/>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t>第三十八条</w:t>
      </w:r>
      <w:r>
        <w:rPr>
          <w:rFonts w:hint="eastAsia" w:ascii="黑体" w:hAnsi="宋体" w:eastAsia="黑体" w:cs="黑体"/>
          <w:b w:val="0"/>
          <w:bCs w:val="0"/>
          <w:i w:val="0"/>
          <w:iCs w:val="0"/>
          <w:caps w:val="0"/>
          <w:color w:val="000000"/>
          <w:spacing w:val="17"/>
          <w:kern w:val="0"/>
          <w:sz w:val="32"/>
          <w:szCs w:val="32"/>
          <w:vertAlign w:val="baseline"/>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医疗保障行政部门、医疗保障经办机构应当拓宽监督途径，创新监督方式，通过满意度调查、第三方评价、聘请社会监督员、信用管理等方式对定点长护服务机构进行社会监督，畅通举报投诉渠道，及时发现问题并进行处理。</w:t>
      </w:r>
    </w:p>
    <w:p w14:paraId="750F0A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24"/>
        <w:jc w:val="both"/>
        <w:textAlignment w:val="baseline"/>
        <w:rPr>
          <w:rFonts w:hint="default" w:ascii="Times New Roman" w:hAnsi="Times New Roman" w:cs="Times New Roman"/>
          <w:i w:val="0"/>
          <w:iCs w:val="0"/>
          <w:caps w:val="0"/>
          <w:color w:val="000000"/>
          <w:spacing w:val="0"/>
          <w:sz w:val="32"/>
          <w:szCs w:val="32"/>
        </w:rPr>
      </w:pPr>
      <w:r>
        <w:rPr>
          <w:rFonts w:hint="eastAsia" w:ascii="仿宋" w:hAnsi="仿宋" w:eastAsia="仿宋" w:cs="仿宋"/>
          <w:b w:val="0"/>
          <w:bCs w:val="0"/>
          <w:i w:val="0"/>
          <w:iCs w:val="0"/>
          <w:caps w:val="0"/>
          <w:color w:val="000000"/>
          <w:spacing w:val="-3"/>
          <w:kern w:val="0"/>
          <w:sz w:val="32"/>
          <w:szCs w:val="32"/>
          <w:vertAlign w:val="baseline"/>
          <w:lang w:val="en-US" w:eastAsia="zh-CN" w:bidi="ar"/>
        </w:rPr>
        <w:t> </w:t>
      </w:r>
    </w:p>
    <w:p w14:paraId="41539E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baseline"/>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t>第八章  附   则</w:t>
      </w:r>
    </w:p>
    <w:p w14:paraId="58342D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24"/>
        <w:jc w:val="both"/>
        <w:textAlignment w:val="baseline"/>
        <w:rPr>
          <w:rFonts w:hint="default" w:ascii="Times New Roman" w:hAnsi="Times New Roman" w:cs="Times New Roman"/>
          <w:i w:val="0"/>
          <w:iCs w:val="0"/>
          <w:caps w:val="0"/>
          <w:color w:val="000000"/>
          <w:spacing w:val="0"/>
          <w:sz w:val="32"/>
          <w:szCs w:val="32"/>
        </w:rPr>
      </w:pPr>
      <w:r>
        <w:rPr>
          <w:rFonts w:hint="eastAsia" w:ascii="仿宋" w:hAnsi="仿宋" w:eastAsia="仿宋" w:cs="仿宋"/>
          <w:b w:val="0"/>
          <w:bCs w:val="0"/>
          <w:i w:val="0"/>
          <w:iCs w:val="0"/>
          <w:caps w:val="0"/>
          <w:color w:val="000000"/>
          <w:spacing w:val="-3"/>
          <w:kern w:val="0"/>
          <w:sz w:val="32"/>
          <w:szCs w:val="32"/>
          <w:vertAlign w:val="baseline"/>
          <w:lang w:val="en-US" w:eastAsia="zh-CN" w:bidi="ar"/>
        </w:rPr>
        <w:t> </w:t>
      </w:r>
    </w:p>
    <w:p w14:paraId="5E078B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704"/>
        <w:jc w:val="both"/>
        <w:textAlignment w:val="baseline"/>
        <w:rPr>
          <w:rFonts w:hint="default" w:ascii="Times New Roman" w:hAnsi="Times New Roman" w:cs="Times New Roman"/>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4"/>
          <w:kern w:val="0"/>
          <w:sz w:val="32"/>
          <w:szCs w:val="32"/>
          <w:vertAlign w:val="baseline"/>
          <w:lang w:val="en-US" w:eastAsia="zh-CN" w:bidi="ar"/>
        </w:rPr>
        <w:t>第三十九条</w:t>
      </w:r>
      <w:r>
        <w:rPr>
          <w:rFonts w:hint="eastAsia" w:ascii="黑体" w:hAnsi="宋体" w:eastAsia="黑体" w:cs="黑体"/>
          <w:b w:val="0"/>
          <w:bCs w:val="0"/>
          <w:i w:val="0"/>
          <w:iCs w:val="0"/>
          <w:caps w:val="0"/>
          <w:color w:val="000000"/>
          <w:spacing w:val="17"/>
          <w:kern w:val="0"/>
          <w:sz w:val="32"/>
          <w:szCs w:val="32"/>
          <w:vertAlign w:val="baseline"/>
          <w:lang w:val="en-US" w:eastAsia="zh-CN" w:bidi="ar"/>
        </w:rPr>
        <w:t>　</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本细则由安徽省医疗保障行政部门负责解释，自</w:t>
      </w: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2025</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年</w:t>
      </w:r>
      <w:r>
        <w:rPr>
          <w:rFonts w:hint="default" w:ascii="Times New Roman" w:hAnsi="Times New Roman" w:eastAsia="方正仿宋_GBK" w:cs="Times New Roman"/>
          <w:b w:val="0"/>
          <w:bCs w:val="0"/>
          <w:i w:val="0"/>
          <w:iCs w:val="0"/>
          <w:caps w:val="0"/>
          <w:color w:val="000000"/>
          <w:spacing w:val="0"/>
          <w:kern w:val="0"/>
          <w:sz w:val="32"/>
          <w:szCs w:val="32"/>
          <w:vertAlign w:val="baseline"/>
          <w:lang w:val="en-US" w:eastAsia="zh-CN" w:bidi="ar"/>
        </w:rPr>
        <w:t>9</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月</w:t>
      </w:r>
      <w:r>
        <w:rPr>
          <w:rFonts w:hint="default" w:ascii="Times New Roman" w:hAnsi="Times New Roman" w:eastAsia="方正仿宋_GBK" w:cs="Times New Roman"/>
          <w:b w:val="0"/>
          <w:bCs w:val="0"/>
          <w:i w:val="0"/>
          <w:iCs w:val="0"/>
          <w:caps w:val="0"/>
          <w:color w:val="000000"/>
          <w:spacing w:val="0"/>
          <w:kern w:val="0"/>
          <w:sz w:val="32"/>
          <w:szCs w:val="32"/>
          <w:vertAlign w:val="baseline"/>
          <w:lang w:val="en-US" w:eastAsia="zh-CN" w:bidi="ar"/>
        </w:rPr>
        <w:t>1</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日起施行。试行期间如国家有相关政策调整，从其规定。</w:t>
      </w:r>
    </w:p>
    <w:p w14:paraId="7F1797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24"/>
        <w:jc w:val="both"/>
        <w:textAlignment w:val="baseline"/>
        <w:rPr>
          <w:rFonts w:hint="default" w:ascii="Times New Roman" w:hAnsi="Times New Roman" w:cs="Times New Roman"/>
          <w:i w:val="0"/>
          <w:iCs w:val="0"/>
          <w:caps w:val="0"/>
          <w:color w:val="000000"/>
          <w:spacing w:val="0"/>
          <w:sz w:val="32"/>
          <w:szCs w:val="32"/>
        </w:rPr>
      </w:pPr>
      <w:r>
        <w:rPr>
          <w:rFonts w:hint="eastAsia" w:ascii="仿宋" w:hAnsi="仿宋" w:eastAsia="仿宋" w:cs="仿宋"/>
          <w:b w:val="0"/>
          <w:bCs w:val="0"/>
          <w:i w:val="0"/>
          <w:iCs w:val="0"/>
          <w:caps w:val="0"/>
          <w:color w:val="000000"/>
          <w:spacing w:val="-3"/>
          <w:kern w:val="0"/>
          <w:sz w:val="32"/>
          <w:szCs w:val="32"/>
          <w:vertAlign w:val="baseline"/>
          <w:lang w:val="en-US" w:eastAsia="zh-CN" w:bidi="ar"/>
        </w:rPr>
        <w:t> </w:t>
      </w: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 </w:t>
      </w:r>
    </w:p>
    <w:p w14:paraId="7BA386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附件：</w:t>
      </w: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1</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．长期护理保险定点服务机构申请材料清单</w:t>
      </w:r>
    </w:p>
    <w:p w14:paraId="640D02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     </w:t>
      </w:r>
      <w:r>
        <w:rPr>
          <w:rFonts w:hint="eastAsia" w:ascii="Times New Roman" w:hAnsi="Times New Roman" w:cs="Times New Roman"/>
          <w:b w:val="0"/>
          <w:bCs w:val="0"/>
          <w:i w:val="0"/>
          <w:iCs w:val="0"/>
          <w:caps w:val="0"/>
          <w:color w:val="000000"/>
          <w:spacing w:val="0"/>
          <w:kern w:val="0"/>
          <w:sz w:val="32"/>
          <w:szCs w:val="32"/>
          <w:vertAlign w:val="baseline"/>
          <w:lang w:val="en-US" w:eastAsia="zh" w:bidi="ar"/>
        </w:rPr>
        <w:t xml:space="preserve">   </w:t>
      </w: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 2</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．长期护理保险协议服务机构申请表</w:t>
      </w:r>
    </w:p>
    <w:p w14:paraId="1E2548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left"/>
        <w:textAlignment w:val="baseline"/>
        <w:rPr>
          <w:rFonts w:hint="eastAsia" w:ascii="方正黑体_GBK" w:hAnsi="方正黑体_GBK" w:eastAsia="方正黑体_GBK" w:cs="方正黑体_GBK"/>
          <w:b w:val="0"/>
          <w:bCs w:val="0"/>
          <w:i w:val="0"/>
          <w:iCs w:val="0"/>
          <w:caps w:val="0"/>
          <w:color w:val="000000"/>
          <w:spacing w:val="10"/>
          <w:kern w:val="0"/>
          <w:sz w:val="32"/>
          <w:szCs w:val="32"/>
          <w:vertAlign w:val="baseline"/>
          <w:lang w:val="en-US" w:eastAsia="zh-CN" w:bidi="ar"/>
        </w:rPr>
      </w:pPr>
    </w:p>
    <w:p w14:paraId="2FE5DD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left"/>
        <w:textAlignment w:val="baseline"/>
        <w:rPr>
          <w:rFonts w:hint="eastAsia" w:ascii="方正黑体_GBK" w:hAnsi="方正黑体_GBK" w:eastAsia="方正黑体_GBK" w:cs="方正黑体_GBK"/>
          <w:b w:val="0"/>
          <w:bCs w:val="0"/>
          <w:i w:val="0"/>
          <w:iCs w:val="0"/>
          <w:caps w:val="0"/>
          <w:color w:val="000000"/>
          <w:spacing w:val="10"/>
          <w:kern w:val="0"/>
          <w:sz w:val="32"/>
          <w:szCs w:val="32"/>
          <w:vertAlign w:val="baseline"/>
          <w:lang w:val="en-US" w:eastAsia="zh-CN" w:bidi="ar"/>
        </w:rPr>
      </w:pPr>
    </w:p>
    <w:p w14:paraId="614C9F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left"/>
        <w:textAlignment w:val="baseline"/>
        <w:rPr>
          <w:rFonts w:hint="eastAsia" w:ascii="方正黑体_GBK" w:hAnsi="方正黑体_GBK" w:eastAsia="方正黑体_GBK" w:cs="方正黑体_GBK"/>
          <w:b w:val="0"/>
          <w:bCs w:val="0"/>
          <w:i w:val="0"/>
          <w:iCs w:val="0"/>
          <w:caps w:val="0"/>
          <w:color w:val="000000"/>
          <w:spacing w:val="10"/>
          <w:kern w:val="0"/>
          <w:sz w:val="32"/>
          <w:szCs w:val="32"/>
          <w:vertAlign w:val="baseline"/>
          <w:lang w:val="en-US" w:eastAsia="zh-CN" w:bidi="ar"/>
        </w:rPr>
      </w:pPr>
    </w:p>
    <w:p w14:paraId="4C5AAD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left"/>
        <w:textAlignment w:val="baseline"/>
        <w:rPr>
          <w:rFonts w:hint="eastAsia" w:ascii="方正黑体_GBK" w:hAnsi="方正黑体_GBK" w:eastAsia="方正黑体_GBK" w:cs="方正黑体_GBK"/>
          <w:b w:val="0"/>
          <w:bCs w:val="0"/>
          <w:i w:val="0"/>
          <w:iCs w:val="0"/>
          <w:caps w:val="0"/>
          <w:color w:val="000000"/>
          <w:spacing w:val="10"/>
          <w:kern w:val="0"/>
          <w:sz w:val="32"/>
          <w:szCs w:val="32"/>
          <w:vertAlign w:val="baseline"/>
          <w:lang w:val="en-US" w:eastAsia="zh-CN" w:bidi="ar"/>
        </w:rPr>
      </w:pPr>
    </w:p>
    <w:p w14:paraId="76F17C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left"/>
        <w:textAlignment w:val="baseline"/>
        <w:rPr>
          <w:rFonts w:hint="eastAsia" w:ascii="方正黑体_GBK" w:hAnsi="方正黑体_GBK" w:eastAsia="方正黑体_GBK" w:cs="方正黑体_GBK"/>
          <w:b w:val="0"/>
          <w:bCs w:val="0"/>
          <w:i w:val="0"/>
          <w:iCs w:val="0"/>
          <w:caps w:val="0"/>
          <w:color w:val="000000"/>
          <w:spacing w:val="10"/>
          <w:kern w:val="0"/>
          <w:sz w:val="32"/>
          <w:szCs w:val="32"/>
          <w:vertAlign w:val="baseline"/>
          <w:lang w:val="en-US" w:eastAsia="zh-CN" w:bidi="ar"/>
        </w:rPr>
      </w:pPr>
    </w:p>
    <w:p w14:paraId="77DA0A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left"/>
        <w:textAlignment w:val="baseline"/>
        <w:rPr>
          <w:rFonts w:hint="eastAsia" w:ascii="方正黑体_GBK" w:hAnsi="方正黑体_GBK" w:eastAsia="方正黑体_GBK" w:cs="方正黑体_GBK"/>
          <w:b w:val="0"/>
          <w:bCs w:val="0"/>
          <w:i w:val="0"/>
          <w:iCs w:val="0"/>
          <w:caps w:val="0"/>
          <w:color w:val="000000"/>
          <w:spacing w:val="10"/>
          <w:kern w:val="0"/>
          <w:sz w:val="32"/>
          <w:szCs w:val="32"/>
          <w:vertAlign w:val="baseline"/>
          <w:lang w:val="en-US" w:eastAsia="zh-CN" w:bidi="ar"/>
        </w:rPr>
      </w:pPr>
    </w:p>
    <w:p w14:paraId="0EE397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left"/>
        <w:textAlignment w:val="baseline"/>
        <w:rPr>
          <w:rFonts w:hint="eastAsia" w:ascii="方正黑体_GBK" w:hAnsi="方正黑体_GBK" w:eastAsia="方正黑体_GBK" w:cs="方正黑体_GBK"/>
          <w:b w:val="0"/>
          <w:bCs w:val="0"/>
          <w:i w:val="0"/>
          <w:iCs w:val="0"/>
          <w:caps w:val="0"/>
          <w:color w:val="000000"/>
          <w:spacing w:val="10"/>
          <w:kern w:val="0"/>
          <w:sz w:val="32"/>
          <w:szCs w:val="32"/>
          <w:vertAlign w:val="baseline"/>
          <w:lang w:val="en-US" w:eastAsia="zh-CN" w:bidi="ar"/>
        </w:rPr>
      </w:pPr>
    </w:p>
    <w:p w14:paraId="2EB066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left"/>
        <w:textAlignment w:val="baseline"/>
        <w:rPr>
          <w:rFonts w:hint="eastAsia" w:ascii="方正黑体_GBK" w:hAnsi="方正黑体_GBK" w:eastAsia="方正黑体_GBK" w:cs="方正黑体_GBK"/>
          <w:b w:val="0"/>
          <w:bCs w:val="0"/>
          <w:i w:val="0"/>
          <w:iCs w:val="0"/>
          <w:caps w:val="0"/>
          <w:color w:val="000000"/>
          <w:spacing w:val="10"/>
          <w:kern w:val="0"/>
          <w:sz w:val="32"/>
          <w:szCs w:val="32"/>
          <w:vertAlign w:val="baseline"/>
          <w:lang w:val="en-US" w:eastAsia="zh-CN" w:bidi="ar"/>
        </w:rPr>
      </w:pPr>
    </w:p>
    <w:p w14:paraId="73BF73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left"/>
        <w:textAlignment w:val="baseline"/>
        <w:rPr>
          <w:rFonts w:hint="default" w:ascii="Times New Roman" w:hAnsi="Times New Roman" w:cs="Times New Roman"/>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10"/>
          <w:kern w:val="0"/>
          <w:sz w:val="32"/>
          <w:szCs w:val="32"/>
          <w:vertAlign w:val="baseline"/>
          <w:lang w:val="en-US" w:eastAsia="zh-CN" w:bidi="ar"/>
        </w:rPr>
        <w:t>附件</w:t>
      </w:r>
      <w:r>
        <w:rPr>
          <w:rFonts w:hint="default" w:ascii="Times New Roman" w:hAnsi="Times New Roman" w:cs="Times New Roman"/>
          <w:b w:val="0"/>
          <w:bCs w:val="0"/>
          <w:i w:val="0"/>
          <w:iCs w:val="0"/>
          <w:caps w:val="0"/>
          <w:color w:val="000000"/>
          <w:spacing w:val="10"/>
          <w:kern w:val="0"/>
          <w:sz w:val="32"/>
          <w:szCs w:val="32"/>
          <w:vertAlign w:val="baseline"/>
          <w:lang w:val="en-US" w:eastAsia="zh-CN" w:bidi="ar"/>
        </w:rPr>
        <w:t>1</w:t>
      </w:r>
      <w:r>
        <w:rPr>
          <w:rFonts w:hint="eastAsia" w:ascii="方正小标宋_GBK" w:hAnsi="方正小标宋_GBK" w:eastAsia="方正小标宋_GBK" w:cs="方正小标宋_GBK"/>
          <w:i w:val="0"/>
          <w:iCs w:val="0"/>
          <w:caps w:val="0"/>
          <w:color w:val="000000"/>
          <w:spacing w:val="10"/>
          <w:kern w:val="0"/>
          <w:sz w:val="44"/>
          <w:szCs w:val="44"/>
          <w:vertAlign w:val="baseline"/>
          <w:lang w:val="en-US" w:eastAsia="zh-CN" w:bidi="ar"/>
        </w:rPr>
        <w:t> </w:t>
      </w:r>
    </w:p>
    <w:p w14:paraId="393871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firstLine="0" w:firstLineChars="0"/>
        <w:jc w:val="center"/>
        <w:textAlignment w:val="baseline"/>
        <w:rPr>
          <w:rFonts w:hint="default" w:ascii="Times New Roman" w:hAnsi="Times New Roman" w:cs="Times New Roman"/>
          <w:i w:val="0"/>
          <w:iCs w:val="0"/>
          <w:caps w:val="0"/>
          <w:color w:val="000000"/>
          <w:spacing w:val="0"/>
          <w:sz w:val="32"/>
          <w:szCs w:val="32"/>
        </w:rPr>
      </w:pPr>
      <w:r>
        <w:rPr>
          <w:rFonts w:hint="eastAsia" w:ascii="方正小标宋_GBK" w:hAnsi="方正小标宋_GBK" w:eastAsia="方正小标宋_GBK" w:cs="方正小标宋_GBK"/>
          <w:i w:val="0"/>
          <w:iCs w:val="0"/>
          <w:caps w:val="0"/>
          <w:color w:val="000000"/>
          <w:spacing w:val="10"/>
          <w:kern w:val="0"/>
          <w:sz w:val="44"/>
          <w:szCs w:val="44"/>
          <w:vertAlign w:val="baseline"/>
          <w:lang w:val="en-US" w:eastAsia="zh-CN" w:bidi="ar"/>
        </w:rPr>
        <w:t>长期护理保险定点服务机构申请材料清单</w:t>
      </w:r>
    </w:p>
    <w:p w14:paraId="4CF949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782"/>
        <w:jc w:val="both"/>
        <w:textAlignment w:val="baseline"/>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kern w:val="0"/>
          <w:sz w:val="32"/>
          <w:szCs w:val="32"/>
          <w:vertAlign w:val="baseline"/>
          <w:lang w:val="en-US" w:eastAsia="zh-CN" w:bidi="ar"/>
        </w:rPr>
        <w:t> </w:t>
      </w:r>
    </w:p>
    <w:p w14:paraId="0DF4FE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1</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．《长期护理保险定点服务机构申请表》。</w:t>
      </w:r>
    </w:p>
    <w:p w14:paraId="33DAEC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2</w:t>
      </w:r>
      <w:r>
        <w:rPr>
          <w:rFonts w:hint="default" w:ascii="Times New Roman" w:hAnsi="Times New Roman" w:eastAsia="方正仿宋_GBK" w:cs="Times New Roman"/>
          <w:b w:val="0"/>
          <w:bCs w:val="0"/>
          <w:i w:val="0"/>
          <w:iCs w:val="0"/>
          <w:caps w:val="0"/>
          <w:color w:val="000000"/>
          <w:spacing w:val="0"/>
          <w:kern w:val="0"/>
          <w:sz w:val="32"/>
          <w:szCs w:val="32"/>
          <w:vertAlign w:val="baseline"/>
          <w:lang w:val="en-US" w:eastAsia="zh-CN" w:bidi="ar"/>
        </w:rPr>
        <w:t xml:space="preserve">. </w:t>
      </w:r>
      <w:r>
        <w:rPr>
          <w:rFonts w:hint="eastAsia" w:ascii="方正仿宋_GBK" w:hAnsi="方正仿宋_GBK" w:eastAsia="方正仿宋_GBK" w:cs="方正仿宋_GBK"/>
          <w:b/>
          <w:bCs/>
          <w:i w:val="0"/>
          <w:iCs w:val="0"/>
          <w:caps w:val="0"/>
          <w:color w:val="000000"/>
          <w:spacing w:val="0"/>
          <w:kern w:val="0"/>
          <w:sz w:val="32"/>
          <w:szCs w:val="32"/>
          <w:vertAlign w:val="baseline"/>
          <w:lang w:val="en-US" w:eastAsia="zh-CN" w:bidi="ar"/>
        </w:rPr>
        <w:t>医疗机构</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提供《医疗机构执业许可证》、护理服务区域设置示意图、护理区域床位张数证明，基本医疗保险定点服务协议</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 w:bidi="ar"/>
        </w:rPr>
        <w:t>等；</w:t>
      </w:r>
      <w:r>
        <w:rPr>
          <w:rFonts w:hint="eastAsia" w:ascii="方正仿宋_GBK" w:hAnsi="方正仿宋_GBK" w:eastAsia="方正仿宋_GBK" w:cs="方正仿宋_GBK"/>
          <w:b/>
          <w:bCs/>
          <w:i w:val="0"/>
          <w:iCs w:val="0"/>
          <w:caps w:val="0"/>
          <w:color w:val="000000"/>
          <w:spacing w:val="0"/>
          <w:kern w:val="0"/>
          <w:sz w:val="32"/>
          <w:szCs w:val="32"/>
          <w:vertAlign w:val="baseline"/>
          <w:lang w:val="en-US" w:eastAsia="zh-CN" w:bidi="ar"/>
        </w:rPr>
        <w:t>养老机构</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提供《养老机构设立许可证》或《设置养老服务机构备案回执》、与医院、社区卫生服务中心签订的医疗服务合作协议</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 w:bidi="ar"/>
        </w:rPr>
        <w:t>等；</w:t>
      </w:r>
      <w:r>
        <w:rPr>
          <w:rFonts w:hint="eastAsia" w:ascii="方正仿宋_GBK" w:hAnsi="方正仿宋_GBK" w:eastAsia="方正仿宋_GBK" w:cs="方正仿宋_GBK"/>
          <w:b/>
          <w:bCs/>
          <w:i w:val="0"/>
          <w:iCs w:val="0"/>
          <w:caps w:val="0"/>
          <w:color w:val="000000"/>
          <w:spacing w:val="0"/>
          <w:kern w:val="0"/>
          <w:sz w:val="32"/>
          <w:szCs w:val="32"/>
          <w:vertAlign w:val="baseline"/>
          <w:lang w:val="en-US" w:eastAsia="zh-CN" w:bidi="ar"/>
        </w:rPr>
        <w:t>其他服务机构</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提供民政、卫健、市场监管等行政部门颁发的从事养老、照护或护理服务的资质证明</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 w:bidi="ar"/>
        </w:rPr>
        <w:t>等</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 w:bidi="ar"/>
        </w:rPr>
        <w:t>（</w:t>
      </w:r>
      <w:r>
        <w:rPr>
          <w:rFonts w:hint="eastAsia" w:ascii="方正仿宋_GBK" w:hAnsi="方正仿宋_GBK" w:eastAsia="方正仿宋_GBK" w:cs="方正仿宋_GBK"/>
          <w:b/>
          <w:bCs/>
          <w:i w:val="0"/>
          <w:iCs w:val="0"/>
          <w:caps w:val="0"/>
          <w:color w:val="000000"/>
          <w:spacing w:val="0"/>
          <w:kern w:val="0"/>
          <w:sz w:val="32"/>
          <w:szCs w:val="32"/>
          <w:vertAlign w:val="baseline"/>
          <w:lang w:val="en-US" w:eastAsia="zh-CN" w:bidi="ar"/>
        </w:rPr>
        <w:t>长护服务机构按统筹地区医保部门</w:t>
      </w:r>
      <w:r>
        <w:rPr>
          <w:rFonts w:hint="eastAsia" w:ascii="方正仿宋_GBK" w:hAnsi="方正仿宋_GBK" w:eastAsia="方正仿宋_GBK" w:cs="方正仿宋_GBK"/>
          <w:b/>
          <w:bCs/>
          <w:i w:val="0"/>
          <w:iCs w:val="0"/>
          <w:caps w:val="0"/>
          <w:color w:val="000000"/>
          <w:spacing w:val="0"/>
          <w:kern w:val="0"/>
          <w:sz w:val="32"/>
          <w:szCs w:val="32"/>
          <w:vertAlign w:val="baseline"/>
          <w:lang w:val="en-US" w:eastAsia="zh" w:bidi="ar"/>
        </w:rPr>
        <w:t>规定，</w:t>
      </w:r>
      <w:r>
        <w:rPr>
          <w:rFonts w:hint="eastAsia" w:ascii="方正仿宋_GBK" w:hAnsi="方正仿宋_GBK" w:eastAsia="方正仿宋_GBK" w:cs="方正仿宋_GBK"/>
          <w:b/>
          <w:bCs/>
          <w:i w:val="0"/>
          <w:iCs w:val="0"/>
          <w:caps w:val="0"/>
          <w:color w:val="000000"/>
          <w:spacing w:val="0"/>
          <w:kern w:val="0"/>
          <w:sz w:val="32"/>
          <w:szCs w:val="32"/>
          <w:vertAlign w:val="baseline"/>
          <w:lang w:val="en-US" w:eastAsia="zh-CN" w:bidi="ar"/>
        </w:rPr>
        <w:t>根据拟</w:t>
      </w:r>
      <w:r>
        <w:rPr>
          <w:rFonts w:hint="eastAsia" w:ascii="方正仿宋_GBK" w:hAnsi="方正仿宋_GBK" w:eastAsia="方正仿宋_GBK" w:cs="方正仿宋_GBK"/>
          <w:b/>
          <w:bCs/>
          <w:i w:val="0"/>
          <w:iCs w:val="0"/>
          <w:caps w:val="0"/>
          <w:color w:val="000000"/>
          <w:spacing w:val="0"/>
          <w:kern w:val="0"/>
          <w:sz w:val="32"/>
          <w:szCs w:val="32"/>
          <w:vertAlign w:val="baseline"/>
          <w:lang w:val="en-US" w:eastAsia="zh" w:bidi="ar"/>
        </w:rPr>
        <w:t>申请</w:t>
      </w:r>
      <w:r>
        <w:rPr>
          <w:rFonts w:hint="eastAsia" w:ascii="方正仿宋_GBK" w:hAnsi="方正仿宋_GBK" w:eastAsia="方正仿宋_GBK" w:cs="方正仿宋_GBK"/>
          <w:b/>
          <w:bCs/>
          <w:i w:val="0"/>
          <w:iCs w:val="0"/>
          <w:caps w:val="0"/>
          <w:color w:val="000000"/>
          <w:spacing w:val="0"/>
          <w:kern w:val="0"/>
          <w:sz w:val="32"/>
          <w:szCs w:val="32"/>
          <w:vertAlign w:val="baseline"/>
          <w:lang w:val="en-US" w:eastAsia="zh-CN" w:bidi="ar"/>
        </w:rPr>
        <w:t>提供的</w:t>
      </w:r>
      <w:r>
        <w:rPr>
          <w:rFonts w:hint="eastAsia" w:ascii="方正仿宋_GBK" w:hAnsi="方正仿宋_GBK" w:eastAsia="方正仿宋_GBK" w:cs="方正仿宋_GBK"/>
          <w:b/>
          <w:bCs/>
          <w:i w:val="0"/>
          <w:iCs w:val="0"/>
          <w:caps w:val="0"/>
          <w:color w:val="000000"/>
          <w:spacing w:val="0"/>
          <w:kern w:val="0"/>
          <w:sz w:val="32"/>
          <w:szCs w:val="32"/>
          <w:vertAlign w:val="baseline"/>
          <w:lang w:val="en-US" w:eastAsia="zh" w:bidi="ar"/>
        </w:rPr>
        <w:t>长护</w:t>
      </w:r>
      <w:r>
        <w:rPr>
          <w:rFonts w:hint="eastAsia" w:ascii="方正仿宋_GBK" w:hAnsi="方正仿宋_GBK" w:eastAsia="方正仿宋_GBK" w:cs="方正仿宋_GBK"/>
          <w:b/>
          <w:bCs/>
          <w:i w:val="0"/>
          <w:iCs w:val="0"/>
          <w:caps w:val="0"/>
          <w:color w:val="000000"/>
          <w:spacing w:val="0"/>
          <w:kern w:val="0"/>
          <w:sz w:val="32"/>
          <w:szCs w:val="32"/>
          <w:vertAlign w:val="baseline"/>
          <w:lang w:val="en-US" w:eastAsia="zh-CN" w:bidi="ar"/>
        </w:rPr>
        <w:t>服务类型提供相关申请材料</w:t>
      </w:r>
      <w:r>
        <w:rPr>
          <w:rFonts w:hint="eastAsia" w:ascii="方正仿宋_GBK" w:hAnsi="方正仿宋_GBK" w:eastAsia="方正仿宋_GBK" w:cs="方正仿宋_GBK"/>
          <w:b/>
          <w:bCs/>
          <w:i w:val="0"/>
          <w:iCs w:val="0"/>
          <w:caps w:val="0"/>
          <w:color w:val="000000"/>
          <w:spacing w:val="0"/>
          <w:kern w:val="0"/>
          <w:sz w:val="32"/>
          <w:szCs w:val="32"/>
          <w:vertAlign w:val="baseline"/>
          <w:lang w:val="en-US" w:eastAsia="zh" w:bidi="ar"/>
        </w:rPr>
        <w:t>）</w:t>
      </w:r>
    </w:p>
    <w:p w14:paraId="60646A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3</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事业单位法人证书》或《民办非企业单位登记证书》或《营业执照》；机构法定代表人或企业负责人身份证；经营用房房产证、不动产权登记或租赁合同（现场检查时租赁合同需在有效期内，且距离租赁期限届满一年以上）。</w:t>
      </w:r>
    </w:p>
    <w:p w14:paraId="4A7105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4</w:t>
      </w:r>
      <w:r>
        <w:rPr>
          <w:rFonts w:hint="default" w:ascii="Times New Roman" w:hAnsi="Times New Roman" w:eastAsia="方正仿宋_GBK" w:cs="Times New Roman"/>
          <w:b w:val="0"/>
          <w:bCs w:val="0"/>
          <w:i w:val="0"/>
          <w:iCs w:val="0"/>
          <w:caps w:val="0"/>
          <w:color w:val="000000"/>
          <w:spacing w:val="0"/>
          <w:kern w:val="0"/>
          <w:sz w:val="32"/>
          <w:szCs w:val="32"/>
          <w:vertAlign w:val="baseline"/>
          <w:lang w:val="en-US" w:eastAsia="zh-CN" w:bidi="ar"/>
        </w:rPr>
        <w:t xml:space="preserve">. </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机构工作人员花名册、劳动合同、聘用协议（需在有效期内，且满一年）；护理服务人员的养老护理员资格证书，医师、护士资格和执业证书，专（兼）职财务人员资格证书，食堂工作人员健康证等；三个月的人员工资发放表及参加社会保险的相关证明材料；申请定点前</w:t>
      </w: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3</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个月的财务报表，服务人员名单、与服务人员签订的协议或相关服务记录单、支付凭证等；机构配置的联网计算机等服务设施设备清单。</w:t>
      </w:r>
    </w:p>
    <w:p w14:paraId="42E4AA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5</w:t>
      </w:r>
      <w:r>
        <w:rPr>
          <w:rFonts w:hint="default" w:ascii="Times New Roman" w:hAnsi="Times New Roman" w:eastAsia="方正仿宋_GBK" w:cs="Times New Roman"/>
          <w:b w:val="0"/>
          <w:bCs w:val="0"/>
          <w:i w:val="0"/>
          <w:iCs w:val="0"/>
          <w:caps w:val="0"/>
          <w:color w:val="000000"/>
          <w:spacing w:val="0"/>
          <w:kern w:val="0"/>
          <w:sz w:val="32"/>
          <w:szCs w:val="32"/>
          <w:vertAlign w:val="baseline"/>
          <w:lang w:val="en-US" w:eastAsia="zh-CN" w:bidi="ar"/>
        </w:rPr>
        <w:t xml:space="preserve">. </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与长护保险政策规定相关的护理服务管理制度、医保管理制度等内部管理制度文本；本机构开展的服务项目及价格明细；申请社区护理和机构护理的，需提供消防验收合格证明复印件。</w:t>
      </w:r>
    </w:p>
    <w:p w14:paraId="29073F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6</w:t>
      </w:r>
      <w:r>
        <w:rPr>
          <w:rFonts w:hint="default" w:ascii="Times New Roman" w:hAnsi="Times New Roman" w:eastAsia="方正仿宋_GBK" w:cs="Times New Roman"/>
          <w:b w:val="0"/>
          <w:bCs w:val="0"/>
          <w:i w:val="0"/>
          <w:iCs w:val="0"/>
          <w:caps w:val="0"/>
          <w:color w:val="000000"/>
          <w:spacing w:val="0"/>
          <w:kern w:val="0"/>
          <w:sz w:val="32"/>
          <w:szCs w:val="32"/>
          <w:vertAlign w:val="baseline"/>
          <w:lang w:val="en-US" w:eastAsia="zh-CN" w:bidi="ar"/>
        </w:rPr>
        <w:t xml:space="preserve">. </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其他需要提交的资料。</w:t>
      </w:r>
    </w:p>
    <w:p w14:paraId="77BC7D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b w:val="0"/>
          <w:bCs w:val="0"/>
          <w:i w:val="0"/>
          <w:iCs w:val="0"/>
          <w:caps w:val="0"/>
          <w:color w:val="000000"/>
          <w:spacing w:val="0"/>
          <w:kern w:val="0"/>
          <w:sz w:val="32"/>
          <w:szCs w:val="32"/>
          <w:vertAlign w:val="baseline"/>
          <w:lang w:val="en-US" w:eastAsia="zh-CN" w:bidi="ar"/>
        </w:rPr>
        <w:t> </w:t>
      </w:r>
    </w:p>
    <w:p w14:paraId="220595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kern w:val="0"/>
          <w:sz w:val="32"/>
          <w:szCs w:val="32"/>
          <w:vertAlign w:val="baseline"/>
          <w:lang w:val="en-US" w:eastAsia="zh" w:bidi="ar"/>
        </w:rPr>
        <w:t>备</w:t>
      </w:r>
      <w:r>
        <w:rPr>
          <w:rFonts w:hint="eastAsia" w:ascii="方正仿宋_GBK" w:hAnsi="方正仿宋_GBK" w:eastAsia="方正仿宋_GBK" w:cs="方正仿宋_GBK"/>
          <w:b/>
          <w:bCs/>
          <w:i w:val="0"/>
          <w:iCs w:val="0"/>
          <w:caps w:val="0"/>
          <w:color w:val="000000"/>
          <w:spacing w:val="0"/>
          <w:kern w:val="0"/>
          <w:sz w:val="32"/>
          <w:szCs w:val="32"/>
          <w:vertAlign w:val="baseline"/>
          <w:lang w:val="en-US" w:eastAsia="zh-CN" w:bidi="ar"/>
        </w:rPr>
        <w:t>注：</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以上提供的证书等申请材料，原则上提供复印件，原件</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 w:bidi="ar"/>
        </w:rPr>
        <w:t>留存长护服务机构备查</w:t>
      </w:r>
      <w:r>
        <w:rPr>
          <w:rFonts w:hint="eastAsia" w:ascii="方正仿宋_GBK" w:hAnsi="方正仿宋_GBK" w:eastAsia="方正仿宋_GBK" w:cs="方正仿宋_GBK"/>
          <w:b w:val="0"/>
          <w:bCs w:val="0"/>
          <w:i w:val="0"/>
          <w:iCs w:val="0"/>
          <w:caps w:val="0"/>
          <w:color w:val="000000"/>
          <w:spacing w:val="0"/>
          <w:kern w:val="0"/>
          <w:sz w:val="32"/>
          <w:szCs w:val="32"/>
          <w:vertAlign w:val="baseline"/>
          <w:lang w:val="en-US" w:eastAsia="zh-CN" w:bidi="ar"/>
        </w:rPr>
        <w:t>。证书等包含正、副本的，正、副本均需提供。</w:t>
      </w:r>
    </w:p>
    <w:p w14:paraId="1AB7C6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both"/>
        <w:textAlignment w:val="baseline"/>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kern w:val="0"/>
          <w:sz w:val="32"/>
          <w:szCs w:val="32"/>
          <w:vertAlign w:val="baseline"/>
          <w:lang w:val="en-US" w:eastAsia="zh-CN" w:bidi="ar"/>
        </w:rPr>
        <w:t> </w:t>
      </w:r>
    </w:p>
    <w:p w14:paraId="1592D2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left"/>
        <w:textAlignment w:val="baseline"/>
        <w:rPr>
          <w:rFonts w:hint="default" w:ascii="Times New Roman" w:hAnsi="Times New Roman" w:cs="Times New Roman"/>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10"/>
          <w:kern w:val="0"/>
          <w:sz w:val="32"/>
          <w:szCs w:val="32"/>
          <w:vertAlign w:val="baseline"/>
          <w:lang w:val="en-US" w:eastAsia="zh-CN" w:bidi="ar"/>
        </w:rPr>
        <w:t> </w:t>
      </w:r>
    </w:p>
    <w:p w14:paraId="35E9F8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left"/>
        <w:textAlignment w:val="baseline"/>
        <w:rPr>
          <w:rFonts w:hint="default" w:ascii="Times New Roman" w:hAnsi="Times New Roman" w:cs="Times New Roman"/>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10"/>
          <w:kern w:val="0"/>
          <w:sz w:val="32"/>
          <w:szCs w:val="32"/>
          <w:vertAlign w:val="baseline"/>
          <w:lang w:val="en-US" w:eastAsia="zh-CN" w:bidi="ar"/>
        </w:rPr>
        <w:t> </w:t>
      </w:r>
    </w:p>
    <w:p w14:paraId="21F259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left"/>
        <w:textAlignment w:val="baseline"/>
        <w:rPr>
          <w:rFonts w:hint="default" w:ascii="Times New Roman" w:hAnsi="Times New Roman" w:cs="Times New Roman"/>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10"/>
          <w:kern w:val="0"/>
          <w:sz w:val="32"/>
          <w:szCs w:val="32"/>
          <w:vertAlign w:val="baseline"/>
          <w:lang w:val="en-US" w:eastAsia="zh-CN" w:bidi="ar"/>
        </w:rPr>
        <w:t> </w:t>
      </w:r>
    </w:p>
    <w:p w14:paraId="2A4AEA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left"/>
        <w:textAlignment w:val="baseline"/>
        <w:rPr>
          <w:rFonts w:hint="default" w:ascii="Times New Roman" w:hAnsi="Times New Roman" w:cs="Times New Roman"/>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10"/>
          <w:kern w:val="0"/>
          <w:sz w:val="32"/>
          <w:szCs w:val="32"/>
          <w:vertAlign w:val="baseline"/>
          <w:lang w:val="en-US" w:eastAsia="zh-CN" w:bidi="ar"/>
        </w:rPr>
        <w:t> </w:t>
      </w:r>
    </w:p>
    <w:p w14:paraId="54B7B7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left"/>
        <w:textAlignment w:val="baseline"/>
        <w:rPr>
          <w:rFonts w:hint="default" w:ascii="Times New Roman" w:hAnsi="Times New Roman" w:cs="Times New Roman"/>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10"/>
          <w:kern w:val="0"/>
          <w:sz w:val="32"/>
          <w:szCs w:val="32"/>
          <w:vertAlign w:val="baseline"/>
          <w:lang w:val="en-US" w:eastAsia="zh-CN" w:bidi="ar"/>
        </w:rPr>
        <w:t> </w:t>
      </w:r>
    </w:p>
    <w:p w14:paraId="17D25D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left"/>
        <w:textAlignment w:val="baseline"/>
        <w:rPr>
          <w:rFonts w:hint="default" w:ascii="Times New Roman" w:hAnsi="Times New Roman" w:cs="Times New Roman"/>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10"/>
          <w:kern w:val="0"/>
          <w:sz w:val="32"/>
          <w:szCs w:val="32"/>
          <w:vertAlign w:val="baseline"/>
          <w:lang w:val="en-US" w:eastAsia="zh-CN" w:bidi="ar"/>
        </w:rPr>
        <w:t> </w:t>
      </w:r>
    </w:p>
    <w:p w14:paraId="428C28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left"/>
        <w:textAlignment w:val="baseline"/>
        <w:rPr>
          <w:rFonts w:hint="default" w:ascii="Times New Roman" w:hAnsi="Times New Roman" w:cs="Times New Roman"/>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10"/>
          <w:kern w:val="0"/>
          <w:sz w:val="32"/>
          <w:szCs w:val="32"/>
          <w:vertAlign w:val="baseline"/>
          <w:lang w:val="en-US" w:eastAsia="zh-CN" w:bidi="ar"/>
        </w:rPr>
        <w:t> </w:t>
      </w:r>
    </w:p>
    <w:p w14:paraId="448C73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left"/>
        <w:textAlignment w:val="baseline"/>
        <w:rPr>
          <w:rFonts w:hint="eastAsia" w:ascii="方正黑体_GBK" w:hAnsi="方正黑体_GBK" w:eastAsia="方正黑体_GBK" w:cs="方正黑体_GBK"/>
          <w:b w:val="0"/>
          <w:bCs w:val="0"/>
          <w:i w:val="0"/>
          <w:iCs w:val="0"/>
          <w:caps w:val="0"/>
          <w:color w:val="000000"/>
          <w:spacing w:val="10"/>
          <w:kern w:val="0"/>
          <w:sz w:val="32"/>
          <w:szCs w:val="32"/>
          <w:vertAlign w:val="baseline"/>
          <w:lang w:val="en-US" w:eastAsia="zh-CN" w:bidi="ar"/>
        </w:rPr>
      </w:pPr>
      <w:r>
        <w:rPr>
          <w:rFonts w:hint="eastAsia" w:ascii="方正黑体_GBK" w:hAnsi="方正黑体_GBK" w:eastAsia="方正黑体_GBK" w:cs="方正黑体_GBK"/>
          <w:b w:val="0"/>
          <w:bCs w:val="0"/>
          <w:i w:val="0"/>
          <w:iCs w:val="0"/>
          <w:caps w:val="0"/>
          <w:color w:val="000000"/>
          <w:spacing w:val="10"/>
          <w:kern w:val="0"/>
          <w:sz w:val="32"/>
          <w:szCs w:val="32"/>
          <w:vertAlign w:val="baseline"/>
          <w:lang w:val="en-US" w:eastAsia="zh-CN" w:bidi="ar"/>
        </w:rPr>
        <w:t> </w:t>
      </w:r>
    </w:p>
    <w:p w14:paraId="408DC7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left"/>
        <w:textAlignment w:val="baseline"/>
        <w:rPr>
          <w:rFonts w:hint="eastAsia" w:ascii="方正黑体_GBK" w:hAnsi="方正黑体_GBK" w:eastAsia="方正黑体_GBK" w:cs="方正黑体_GBK"/>
          <w:b w:val="0"/>
          <w:bCs w:val="0"/>
          <w:i w:val="0"/>
          <w:iCs w:val="0"/>
          <w:caps w:val="0"/>
          <w:color w:val="000000"/>
          <w:spacing w:val="10"/>
          <w:kern w:val="0"/>
          <w:sz w:val="32"/>
          <w:szCs w:val="32"/>
          <w:vertAlign w:val="baseline"/>
          <w:lang w:val="en-US" w:eastAsia="zh-CN" w:bidi="ar"/>
        </w:rPr>
      </w:pPr>
    </w:p>
    <w:p w14:paraId="00703F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left"/>
        <w:textAlignment w:val="baseline"/>
        <w:rPr>
          <w:rFonts w:hint="eastAsia" w:ascii="方正黑体_GBK" w:hAnsi="方正黑体_GBK" w:eastAsia="方正黑体_GBK" w:cs="方正黑体_GBK"/>
          <w:b w:val="0"/>
          <w:bCs w:val="0"/>
          <w:i w:val="0"/>
          <w:iCs w:val="0"/>
          <w:caps w:val="0"/>
          <w:color w:val="000000"/>
          <w:spacing w:val="10"/>
          <w:kern w:val="0"/>
          <w:sz w:val="32"/>
          <w:szCs w:val="32"/>
          <w:vertAlign w:val="baseline"/>
          <w:lang w:val="en-US" w:eastAsia="zh-CN" w:bidi="ar"/>
        </w:rPr>
      </w:pPr>
    </w:p>
    <w:p w14:paraId="6EE7DF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left"/>
        <w:textAlignment w:val="baseline"/>
        <w:rPr>
          <w:rFonts w:hint="default" w:ascii="Times New Roman" w:hAnsi="Times New Roman" w:cs="Times New Roman"/>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10"/>
          <w:kern w:val="0"/>
          <w:sz w:val="32"/>
          <w:szCs w:val="32"/>
          <w:vertAlign w:val="baseline"/>
          <w:lang w:val="en-US" w:eastAsia="zh-CN" w:bidi="ar"/>
        </w:rPr>
        <w:t>附件</w:t>
      </w:r>
      <w:r>
        <w:rPr>
          <w:rFonts w:hint="default" w:ascii="Times New Roman" w:hAnsi="Times New Roman" w:eastAsia="方正黑体_GBK" w:cs="Times New Roman"/>
          <w:b w:val="0"/>
          <w:bCs w:val="0"/>
          <w:i w:val="0"/>
          <w:iCs w:val="0"/>
          <w:caps w:val="0"/>
          <w:color w:val="000000"/>
          <w:spacing w:val="10"/>
          <w:kern w:val="0"/>
          <w:sz w:val="32"/>
          <w:szCs w:val="32"/>
          <w:vertAlign w:val="baseline"/>
          <w:lang w:val="en-US" w:eastAsia="zh-CN" w:bidi="ar"/>
        </w:rPr>
        <w:t>2</w:t>
      </w:r>
    </w:p>
    <w:p w14:paraId="2163CBAE">
      <w:pPr>
        <w:pStyle w:val="2"/>
        <w:keepNext w:val="0"/>
        <w:keepLines w:val="0"/>
        <w:pageBreakBefore w:val="0"/>
        <w:widowControl/>
        <w:suppressLineNumbers w:val="0"/>
        <w:kinsoku/>
        <w:wordWrap/>
        <w:overflowPunct/>
        <w:topLinePunct w:val="0"/>
        <w:autoSpaceDE/>
        <w:autoSpaceDN/>
        <w:bidi w:val="0"/>
        <w:adjustRightInd/>
        <w:snapToGrid/>
        <w:spacing w:before="0" w:beforeAutospacing="0" w:line="590" w:lineRule="exact"/>
        <w:ind w:left="0" w:firstLine="0"/>
        <w:jc w:val="center"/>
        <w:textAlignment w:val="baseline"/>
        <w:rPr>
          <w:rFonts w:hint="eastAsia" w:ascii="方正小标宋_GBK" w:hAnsi="方正小标宋_GBK" w:eastAsia="方正小标宋_GBK" w:cs="方正小标宋_GBK"/>
          <w:i w:val="0"/>
          <w:iCs w:val="0"/>
          <w:caps w:val="0"/>
          <w:color w:val="000000"/>
          <w:spacing w:val="-5"/>
          <w:sz w:val="44"/>
          <w:szCs w:val="44"/>
          <w:vertAlign w:val="baseline"/>
        </w:rPr>
      </w:pPr>
      <w:r>
        <w:rPr>
          <w:rFonts w:hint="eastAsia" w:ascii="方正小标宋_GBK" w:hAnsi="方正小标宋_GBK" w:eastAsia="方正小标宋_GBK" w:cs="方正小标宋_GBK"/>
          <w:b w:val="0"/>
          <w:bCs w:val="0"/>
          <w:i w:val="0"/>
          <w:iCs w:val="0"/>
          <w:caps w:val="0"/>
          <w:color w:val="000000"/>
          <w:spacing w:val="-5"/>
          <w:sz w:val="44"/>
          <w:szCs w:val="44"/>
          <w:vertAlign w:val="baseline"/>
        </w:rPr>
        <w:t>长期护理保险协议服务机构申请表</w:t>
      </w:r>
    </w:p>
    <w:p w14:paraId="114AA8E8">
      <w:pPr>
        <w:pStyle w:val="2"/>
        <w:keepNext w:val="0"/>
        <w:keepLines w:val="0"/>
        <w:pageBreakBefore w:val="0"/>
        <w:widowControl/>
        <w:suppressLineNumbers w:val="0"/>
        <w:kinsoku/>
        <w:wordWrap/>
        <w:overflowPunct/>
        <w:topLinePunct w:val="0"/>
        <w:autoSpaceDE/>
        <w:autoSpaceDN/>
        <w:bidi w:val="0"/>
        <w:adjustRightInd/>
        <w:snapToGrid/>
        <w:spacing w:before="0" w:beforeAutospacing="0" w:line="590" w:lineRule="exact"/>
        <w:ind w:left="0" w:firstLine="831" w:firstLineChars="300"/>
        <w:jc w:val="both"/>
        <w:textAlignment w:val="baseline"/>
        <w:rPr>
          <w:rFonts w:hint="default" w:ascii="Times New Roman" w:hAnsi="Times New Roman" w:cs="Times New Roman"/>
          <w:i w:val="0"/>
          <w:iCs w:val="0"/>
          <w:caps w:val="0"/>
          <w:color w:val="000000"/>
          <w:spacing w:val="0"/>
          <w:sz w:val="32"/>
          <w:szCs w:val="32"/>
        </w:rPr>
      </w:pPr>
      <w:r>
        <w:rPr>
          <w:rFonts w:ascii="Droid Sans Fallback" w:hAnsi="Droid Sans Fallback" w:eastAsia="Droid Sans Fallback" w:cs="Droid Sans Fallback"/>
          <w:i w:val="0"/>
          <w:iCs w:val="0"/>
          <w:caps w:val="0"/>
          <w:color w:val="000000"/>
          <w:spacing w:val="-2"/>
          <w:kern w:val="0"/>
          <w:sz w:val="28"/>
          <w:szCs w:val="28"/>
          <w:vertAlign w:val="baseline"/>
          <w:lang w:val="en-US" w:eastAsia="zh-CN" w:bidi="ar"/>
        </w:rPr>
        <w:t>申请单位名称</w:t>
      </w:r>
      <w:r>
        <w:rPr>
          <w:rFonts w:hint="eastAsia" w:ascii="宋体" w:hAnsi="宋体" w:eastAsia="宋体" w:cs="宋体"/>
          <w:i w:val="0"/>
          <w:iCs w:val="0"/>
          <w:caps w:val="0"/>
          <w:color w:val="000000"/>
          <w:spacing w:val="-5"/>
          <w:kern w:val="0"/>
          <w:sz w:val="28"/>
          <w:szCs w:val="28"/>
          <w:vertAlign w:val="baseline"/>
          <w:lang w:val="en-US" w:eastAsia="zh-CN" w:bidi="ar"/>
        </w:rPr>
        <w:t>：</w:t>
      </w:r>
      <w:r>
        <w:rPr>
          <w:rFonts w:ascii="Arial" w:hAnsi="Arial" w:cs="Arial"/>
          <w:i w:val="0"/>
          <w:iCs w:val="0"/>
          <w:caps w:val="0"/>
          <w:color w:val="000000"/>
          <w:spacing w:val="-2"/>
          <w:kern w:val="0"/>
          <w:sz w:val="28"/>
          <w:szCs w:val="28"/>
          <w:vertAlign w:val="baseline"/>
          <w:lang w:val="en-US" w:eastAsia="zh-CN" w:bidi="ar"/>
        </w:rPr>
        <w:t>（盖章</w:t>
      </w:r>
      <w:r>
        <w:rPr>
          <w:rFonts w:hint="default" w:ascii="Arial" w:hAnsi="Arial" w:cs="Arial"/>
          <w:i w:val="0"/>
          <w:iCs w:val="0"/>
          <w:caps w:val="0"/>
          <w:color w:val="000000"/>
          <w:spacing w:val="-147"/>
          <w:kern w:val="0"/>
          <w:sz w:val="28"/>
          <w:szCs w:val="28"/>
          <w:vertAlign w:val="baseline"/>
          <w:lang w:val="en-US" w:eastAsia="zh-CN" w:bidi="ar"/>
        </w:rPr>
        <w:t>）</w:t>
      </w:r>
      <w:r>
        <w:rPr>
          <w:rFonts w:hint="eastAsia" w:ascii="宋体" w:hAnsi="宋体" w:eastAsia="宋体" w:cs="宋体"/>
          <w:i w:val="0"/>
          <w:iCs w:val="0"/>
          <w:caps w:val="0"/>
          <w:color w:val="000000"/>
          <w:spacing w:val="-5"/>
          <w:kern w:val="0"/>
          <w:sz w:val="28"/>
          <w:szCs w:val="28"/>
          <w:vertAlign w:val="baseline"/>
          <w:lang w:val="en-US" w:eastAsia="zh-CN" w:bidi="ar"/>
        </w:rPr>
        <w:t>       </w:t>
      </w:r>
      <w:r>
        <w:rPr>
          <w:rFonts w:hint="default" w:ascii="Droid Sans Fallback" w:hAnsi="Droid Sans Fallback" w:eastAsia="Droid Sans Fallback" w:cs="Droid Sans Fallback"/>
          <w:i w:val="0"/>
          <w:iCs w:val="0"/>
          <w:caps w:val="0"/>
          <w:color w:val="000000"/>
          <w:spacing w:val="-2"/>
          <w:kern w:val="0"/>
          <w:sz w:val="28"/>
          <w:szCs w:val="28"/>
          <w:vertAlign w:val="baseline"/>
          <w:lang w:val="en-US" w:eastAsia="zh-CN" w:bidi="ar"/>
        </w:rPr>
        <w:t>申请编号</w:t>
      </w:r>
      <w:r>
        <w:rPr>
          <w:rFonts w:hint="default" w:ascii="Arial" w:hAnsi="Arial" w:cs="Arial"/>
          <w:i w:val="0"/>
          <w:iCs w:val="0"/>
          <w:caps w:val="0"/>
          <w:color w:val="000000"/>
          <w:spacing w:val="-10"/>
          <w:kern w:val="0"/>
          <w:sz w:val="28"/>
          <w:szCs w:val="28"/>
          <w:vertAlign w:val="baseline"/>
          <w:lang w:val="en-US" w:eastAsia="zh-CN" w:bidi="ar"/>
        </w:rPr>
        <w:t>：</w:t>
      </w:r>
      <w:bookmarkStart w:id="0" w:name="_GoBack"/>
      <w:bookmarkEnd w:id="0"/>
    </w:p>
    <w:tbl>
      <w:tblPr>
        <w:tblStyle w:val="7"/>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183"/>
        <w:gridCol w:w="596"/>
        <w:gridCol w:w="1578"/>
        <w:gridCol w:w="2081"/>
        <w:gridCol w:w="2538"/>
      </w:tblGrid>
      <w:tr w14:paraId="6CEA3C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atLeast"/>
          <w:jc w:val="center"/>
        </w:trPr>
        <w:tc>
          <w:tcPr>
            <w:tcW w:w="1216" w:type="pct"/>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top"/>
          </w:tcPr>
          <w:p w14:paraId="69E3EFC2">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8" w:right="0"/>
              <w:jc w:val="center"/>
            </w:pPr>
            <w:r>
              <w:rPr>
                <w:rFonts w:hint="eastAsia" w:ascii="宋体" w:hAnsi="宋体" w:eastAsia="宋体" w:cs="宋体"/>
                <w:spacing w:val="-3"/>
                <w:sz w:val="24"/>
                <w:szCs w:val="24"/>
              </w:rPr>
              <w:t>机构名称</w:t>
            </w:r>
          </w:p>
        </w:tc>
        <w:tc>
          <w:tcPr>
            <w:tcW w:w="3783" w:type="pct"/>
            <w:gridSpan w:val="4"/>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top"/>
          </w:tcPr>
          <w:p w14:paraId="5B08F859">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pPr>
            <w:r>
              <w:rPr>
                <w:rFonts w:hint="eastAsia" w:ascii="宋体" w:hAnsi="宋体" w:eastAsia="宋体" w:cs="宋体"/>
                <w:sz w:val="24"/>
                <w:szCs w:val="24"/>
              </w:rPr>
              <w:t> </w:t>
            </w:r>
          </w:p>
        </w:tc>
      </w:tr>
      <w:tr w14:paraId="494FBD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1216" w:type="pct"/>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14:paraId="27E82DF0">
            <w:pPr>
              <w:pStyle w:val="6"/>
              <w:keepNext w:val="0"/>
              <w:keepLines w:val="0"/>
              <w:pageBreakBefore w:val="0"/>
              <w:widowControl/>
              <w:suppressLineNumbers w:val="0"/>
              <w:kinsoku/>
              <w:wordWrap/>
              <w:overflowPunct/>
              <w:topLinePunct w:val="0"/>
              <w:autoSpaceDE/>
              <w:autoSpaceDN/>
              <w:bidi w:val="0"/>
              <w:adjustRightInd/>
              <w:snapToGrid/>
              <w:spacing w:before="8" w:beforeAutospacing="0" w:after="100" w:afterAutospacing="1" w:line="590" w:lineRule="exact"/>
              <w:ind w:left="8" w:right="0"/>
              <w:jc w:val="center"/>
            </w:pPr>
            <w:r>
              <w:rPr>
                <w:rFonts w:hint="eastAsia" w:ascii="宋体" w:hAnsi="宋体" w:eastAsia="宋体" w:cs="宋体"/>
                <w:spacing w:val="-3"/>
                <w:sz w:val="24"/>
                <w:szCs w:val="24"/>
              </w:rPr>
              <w:t>单位地址</w:t>
            </w:r>
          </w:p>
        </w:tc>
        <w:tc>
          <w:tcPr>
            <w:tcW w:w="3783" w:type="pct"/>
            <w:gridSpan w:val="4"/>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14:paraId="51D9447D">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pPr>
            <w:r>
              <w:rPr>
                <w:rFonts w:hint="eastAsia" w:ascii="宋体" w:hAnsi="宋体" w:eastAsia="宋体" w:cs="宋体"/>
                <w:sz w:val="24"/>
                <w:szCs w:val="24"/>
              </w:rPr>
              <w:t> </w:t>
            </w:r>
          </w:p>
        </w:tc>
      </w:tr>
      <w:tr w14:paraId="606B53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1216" w:type="pct"/>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14:paraId="76A19704">
            <w:pPr>
              <w:pStyle w:val="6"/>
              <w:keepNext w:val="0"/>
              <w:keepLines w:val="0"/>
              <w:pageBreakBefore w:val="0"/>
              <w:widowControl/>
              <w:suppressLineNumbers w:val="0"/>
              <w:kinsoku/>
              <w:wordWrap/>
              <w:overflowPunct/>
              <w:topLinePunct w:val="0"/>
              <w:autoSpaceDE/>
              <w:autoSpaceDN/>
              <w:bidi w:val="0"/>
              <w:adjustRightInd/>
              <w:snapToGrid/>
              <w:spacing w:before="8" w:beforeAutospacing="0" w:after="100" w:afterAutospacing="1" w:line="590" w:lineRule="exact"/>
              <w:ind w:left="8" w:right="0"/>
              <w:jc w:val="center"/>
            </w:pPr>
            <w:r>
              <w:rPr>
                <w:rFonts w:hint="eastAsia" w:ascii="宋体" w:hAnsi="宋体" w:eastAsia="宋体" w:cs="宋体"/>
                <w:spacing w:val="-3"/>
                <w:sz w:val="24"/>
                <w:szCs w:val="24"/>
              </w:rPr>
              <w:t>统一社会信用代码</w:t>
            </w:r>
          </w:p>
        </w:tc>
        <w:tc>
          <w:tcPr>
            <w:tcW w:w="3783" w:type="pct"/>
            <w:gridSpan w:val="4"/>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14:paraId="33FA8049">
            <w:pPr>
              <w:pStyle w:val="6"/>
              <w:keepNext w:val="0"/>
              <w:keepLines w:val="0"/>
              <w:pageBreakBefore w:val="0"/>
              <w:widowControl/>
              <w:suppressLineNumbers w:val="0"/>
              <w:kinsoku/>
              <w:wordWrap/>
              <w:overflowPunct/>
              <w:topLinePunct w:val="0"/>
              <w:autoSpaceDE/>
              <w:autoSpaceDN/>
              <w:bidi w:val="0"/>
              <w:adjustRightInd/>
              <w:snapToGrid/>
              <w:spacing w:before="8" w:beforeAutospacing="0" w:after="100" w:afterAutospacing="1" w:line="590" w:lineRule="exact"/>
              <w:ind w:left="8" w:right="0"/>
              <w:jc w:val="center"/>
            </w:pPr>
            <w:r>
              <w:rPr>
                <w:rFonts w:hint="eastAsia" w:ascii="宋体" w:hAnsi="宋体" w:eastAsia="宋体" w:cs="宋体"/>
                <w:spacing w:val="-3"/>
                <w:sz w:val="24"/>
                <w:szCs w:val="24"/>
              </w:rPr>
              <w:t> </w:t>
            </w:r>
          </w:p>
        </w:tc>
      </w:tr>
      <w:tr w14:paraId="7C4D10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1216" w:type="pct"/>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14:paraId="5BE45D8C">
            <w:pPr>
              <w:pStyle w:val="6"/>
              <w:keepNext w:val="0"/>
              <w:keepLines w:val="0"/>
              <w:pageBreakBefore w:val="0"/>
              <w:widowControl/>
              <w:suppressLineNumbers w:val="0"/>
              <w:kinsoku/>
              <w:wordWrap/>
              <w:overflowPunct/>
              <w:topLinePunct w:val="0"/>
              <w:autoSpaceDE/>
              <w:autoSpaceDN/>
              <w:bidi w:val="0"/>
              <w:adjustRightInd/>
              <w:snapToGrid/>
              <w:spacing w:before="8" w:beforeAutospacing="0" w:after="100" w:afterAutospacing="1" w:line="590" w:lineRule="exact"/>
              <w:ind w:left="8" w:right="0"/>
              <w:jc w:val="center"/>
            </w:pPr>
            <w:r>
              <w:rPr>
                <w:rFonts w:hint="eastAsia" w:ascii="宋体" w:hAnsi="宋体" w:eastAsia="宋体" w:cs="宋体"/>
                <w:spacing w:val="-3"/>
                <w:sz w:val="24"/>
                <w:szCs w:val="24"/>
              </w:rPr>
              <w:t>法定代表人</w:t>
            </w:r>
          </w:p>
        </w:tc>
        <w:tc>
          <w:tcPr>
            <w:tcW w:w="1211" w:type="pct"/>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14:paraId="19A3B490">
            <w:pPr>
              <w:pStyle w:val="6"/>
              <w:keepNext w:val="0"/>
              <w:keepLines w:val="0"/>
              <w:pageBreakBefore w:val="0"/>
              <w:widowControl/>
              <w:suppressLineNumbers w:val="0"/>
              <w:kinsoku/>
              <w:wordWrap/>
              <w:overflowPunct/>
              <w:topLinePunct w:val="0"/>
              <w:autoSpaceDE/>
              <w:autoSpaceDN/>
              <w:bidi w:val="0"/>
              <w:adjustRightInd/>
              <w:snapToGrid/>
              <w:spacing w:before="8" w:beforeAutospacing="0" w:after="100" w:afterAutospacing="1" w:line="590" w:lineRule="exact"/>
              <w:ind w:left="8" w:right="0"/>
              <w:jc w:val="center"/>
            </w:pPr>
            <w:r>
              <w:rPr>
                <w:rFonts w:hint="eastAsia" w:ascii="宋体" w:hAnsi="宋体" w:eastAsia="宋体" w:cs="宋体"/>
                <w:spacing w:val="-3"/>
                <w:sz w:val="24"/>
                <w:szCs w:val="24"/>
              </w:rPr>
              <w:t> </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top"/>
          </w:tcPr>
          <w:p w14:paraId="054F5109">
            <w:pPr>
              <w:pStyle w:val="6"/>
              <w:keepNext w:val="0"/>
              <w:keepLines w:val="0"/>
              <w:pageBreakBefore w:val="0"/>
              <w:widowControl/>
              <w:suppressLineNumbers w:val="0"/>
              <w:kinsoku/>
              <w:wordWrap/>
              <w:overflowPunct/>
              <w:topLinePunct w:val="0"/>
              <w:autoSpaceDE/>
              <w:autoSpaceDN/>
              <w:bidi w:val="0"/>
              <w:adjustRightInd/>
              <w:snapToGrid/>
              <w:spacing w:before="8" w:beforeAutospacing="0" w:after="100" w:afterAutospacing="1" w:line="590" w:lineRule="exact"/>
              <w:ind w:left="0" w:right="552"/>
              <w:jc w:val="right"/>
            </w:pPr>
            <w:r>
              <w:rPr>
                <w:rFonts w:hint="eastAsia" w:ascii="宋体" w:hAnsi="宋体" w:eastAsia="宋体" w:cs="宋体"/>
                <w:spacing w:val="-3"/>
                <w:sz w:val="24"/>
                <w:szCs w:val="24"/>
              </w:rPr>
              <w:t>联系电话</w:t>
            </w:r>
          </w:p>
        </w:tc>
        <w:tc>
          <w:tcPr>
            <w:tcW w:w="1413" w:type="pct"/>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top"/>
          </w:tcPr>
          <w:p w14:paraId="2B5CC393">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pPr>
            <w:r>
              <w:rPr>
                <w:rFonts w:hint="eastAsia" w:ascii="宋体" w:hAnsi="宋体" w:eastAsia="宋体" w:cs="宋体"/>
                <w:sz w:val="24"/>
                <w:szCs w:val="24"/>
              </w:rPr>
              <w:t> </w:t>
            </w:r>
          </w:p>
        </w:tc>
      </w:tr>
      <w:tr w14:paraId="255F427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1216" w:type="pct"/>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14:paraId="1B8D092D">
            <w:pPr>
              <w:pStyle w:val="6"/>
              <w:keepNext w:val="0"/>
              <w:keepLines w:val="0"/>
              <w:pageBreakBefore w:val="0"/>
              <w:widowControl/>
              <w:suppressLineNumbers w:val="0"/>
              <w:kinsoku/>
              <w:wordWrap/>
              <w:overflowPunct/>
              <w:topLinePunct w:val="0"/>
              <w:autoSpaceDE/>
              <w:autoSpaceDN/>
              <w:bidi w:val="0"/>
              <w:adjustRightInd/>
              <w:snapToGrid/>
              <w:spacing w:before="6" w:beforeAutospacing="0" w:after="100" w:afterAutospacing="1" w:line="590" w:lineRule="exact"/>
              <w:ind w:left="8" w:right="0"/>
              <w:jc w:val="center"/>
            </w:pPr>
            <w:r>
              <w:rPr>
                <w:rFonts w:hint="eastAsia" w:ascii="宋体" w:hAnsi="宋体" w:eastAsia="宋体" w:cs="宋体"/>
                <w:spacing w:val="-2"/>
                <w:sz w:val="24"/>
                <w:szCs w:val="24"/>
              </w:rPr>
              <w:t>主要负责人</w:t>
            </w:r>
          </w:p>
        </w:tc>
        <w:tc>
          <w:tcPr>
            <w:tcW w:w="1211" w:type="pct"/>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14:paraId="62BD369B">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pPr>
            <w:r>
              <w:rPr>
                <w:rFonts w:hint="eastAsia" w:ascii="宋体" w:hAnsi="宋体" w:eastAsia="宋体" w:cs="宋体"/>
                <w:sz w:val="24"/>
                <w:szCs w:val="24"/>
              </w:rPr>
              <w:t> </w:t>
            </w:r>
          </w:p>
        </w:tc>
        <w:tc>
          <w:tcPr>
            <w:tcW w:w="1159" w:type="pct"/>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14:paraId="32B7DEB3">
            <w:pPr>
              <w:pStyle w:val="6"/>
              <w:keepNext w:val="0"/>
              <w:keepLines w:val="0"/>
              <w:pageBreakBefore w:val="0"/>
              <w:widowControl/>
              <w:suppressLineNumbers w:val="0"/>
              <w:kinsoku/>
              <w:wordWrap/>
              <w:overflowPunct/>
              <w:topLinePunct w:val="0"/>
              <w:autoSpaceDE/>
              <w:autoSpaceDN/>
              <w:bidi w:val="0"/>
              <w:adjustRightInd/>
              <w:snapToGrid/>
              <w:spacing w:before="6" w:beforeAutospacing="0" w:after="100" w:afterAutospacing="1" w:line="590" w:lineRule="exact"/>
              <w:ind w:left="0" w:right="552"/>
              <w:jc w:val="right"/>
            </w:pPr>
            <w:r>
              <w:rPr>
                <w:rFonts w:hint="eastAsia" w:ascii="宋体" w:hAnsi="宋体" w:eastAsia="宋体" w:cs="宋体"/>
                <w:spacing w:val="-3"/>
                <w:sz w:val="24"/>
                <w:szCs w:val="24"/>
              </w:rPr>
              <w:t>联系电话</w:t>
            </w:r>
          </w:p>
        </w:tc>
        <w:tc>
          <w:tcPr>
            <w:tcW w:w="1413" w:type="pct"/>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14:paraId="3366ECA7">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pPr>
            <w:r>
              <w:rPr>
                <w:rFonts w:hint="eastAsia" w:ascii="宋体" w:hAnsi="宋体" w:eastAsia="宋体" w:cs="宋体"/>
                <w:sz w:val="24"/>
                <w:szCs w:val="24"/>
              </w:rPr>
              <w:t> </w:t>
            </w:r>
          </w:p>
        </w:tc>
      </w:tr>
      <w:tr w14:paraId="27DADC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1216" w:type="pct"/>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14:paraId="427AF1C2">
            <w:pPr>
              <w:pStyle w:val="6"/>
              <w:keepNext w:val="0"/>
              <w:keepLines w:val="0"/>
              <w:pageBreakBefore w:val="0"/>
              <w:widowControl/>
              <w:suppressLineNumbers w:val="0"/>
              <w:kinsoku/>
              <w:wordWrap/>
              <w:overflowPunct/>
              <w:topLinePunct w:val="0"/>
              <w:autoSpaceDE/>
              <w:autoSpaceDN/>
              <w:bidi w:val="0"/>
              <w:adjustRightInd/>
              <w:snapToGrid/>
              <w:spacing w:before="6" w:beforeAutospacing="0" w:after="100" w:afterAutospacing="1" w:line="590" w:lineRule="exact"/>
              <w:ind w:left="8" w:right="0"/>
              <w:jc w:val="center"/>
            </w:pPr>
            <w:r>
              <w:rPr>
                <w:rFonts w:hint="eastAsia" w:ascii="宋体" w:hAnsi="宋体" w:eastAsia="宋体" w:cs="宋体"/>
                <w:spacing w:val="-2"/>
                <w:sz w:val="24"/>
                <w:szCs w:val="24"/>
              </w:rPr>
              <w:t>实际控制人</w:t>
            </w:r>
          </w:p>
        </w:tc>
        <w:tc>
          <w:tcPr>
            <w:tcW w:w="1211" w:type="pct"/>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14:paraId="193DB334">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pPr>
            <w:r>
              <w:rPr>
                <w:rFonts w:hint="eastAsia" w:ascii="宋体" w:hAnsi="宋体" w:eastAsia="宋体" w:cs="宋体"/>
                <w:sz w:val="24"/>
                <w:szCs w:val="24"/>
              </w:rPr>
              <w:t> </w:t>
            </w:r>
          </w:p>
        </w:tc>
        <w:tc>
          <w:tcPr>
            <w:tcW w:w="1159" w:type="pct"/>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14:paraId="20406672">
            <w:pPr>
              <w:pStyle w:val="6"/>
              <w:keepNext w:val="0"/>
              <w:keepLines w:val="0"/>
              <w:pageBreakBefore w:val="0"/>
              <w:widowControl/>
              <w:suppressLineNumbers w:val="0"/>
              <w:kinsoku/>
              <w:wordWrap/>
              <w:overflowPunct/>
              <w:topLinePunct w:val="0"/>
              <w:autoSpaceDE/>
              <w:autoSpaceDN/>
              <w:bidi w:val="0"/>
              <w:adjustRightInd/>
              <w:snapToGrid/>
              <w:spacing w:before="6" w:beforeAutospacing="0" w:after="100" w:afterAutospacing="1" w:line="590" w:lineRule="exact"/>
              <w:ind w:left="0" w:right="552"/>
              <w:jc w:val="right"/>
            </w:pPr>
            <w:r>
              <w:rPr>
                <w:rFonts w:hint="eastAsia" w:ascii="宋体" w:hAnsi="宋体" w:eastAsia="宋体" w:cs="宋体"/>
                <w:spacing w:val="-3"/>
                <w:sz w:val="24"/>
                <w:szCs w:val="24"/>
              </w:rPr>
              <w:t>联系电话</w:t>
            </w:r>
          </w:p>
        </w:tc>
        <w:tc>
          <w:tcPr>
            <w:tcW w:w="1413" w:type="pct"/>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14:paraId="23342937">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pPr>
            <w:r>
              <w:rPr>
                <w:rFonts w:hint="eastAsia" w:ascii="宋体" w:hAnsi="宋体" w:eastAsia="宋体" w:cs="宋体"/>
                <w:sz w:val="24"/>
                <w:szCs w:val="24"/>
              </w:rPr>
              <w:t> </w:t>
            </w:r>
          </w:p>
        </w:tc>
      </w:tr>
      <w:tr w14:paraId="7635C9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1216" w:type="pct"/>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14:paraId="489C134F">
            <w:pPr>
              <w:pStyle w:val="6"/>
              <w:keepNext w:val="0"/>
              <w:keepLines w:val="0"/>
              <w:pageBreakBefore w:val="0"/>
              <w:widowControl/>
              <w:suppressLineNumbers w:val="0"/>
              <w:kinsoku/>
              <w:wordWrap/>
              <w:overflowPunct/>
              <w:topLinePunct w:val="0"/>
              <w:autoSpaceDE/>
              <w:autoSpaceDN/>
              <w:bidi w:val="0"/>
              <w:adjustRightInd/>
              <w:snapToGrid/>
              <w:spacing w:before="6" w:beforeAutospacing="0" w:after="100" w:afterAutospacing="1" w:line="590" w:lineRule="exact"/>
              <w:ind w:left="8" w:right="0"/>
              <w:jc w:val="center"/>
            </w:pPr>
            <w:r>
              <w:rPr>
                <w:rFonts w:hint="eastAsia" w:ascii="宋体" w:hAnsi="宋体" w:eastAsia="宋体" w:cs="宋体"/>
                <w:spacing w:val="-2"/>
                <w:sz w:val="24"/>
                <w:szCs w:val="24"/>
              </w:rPr>
              <w:t>联系人</w:t>
            </w:r>
          </w:p>
        </w:tc>
        <w:tc>
          <w:tcPr>
            <w:tcW w:w="1211" w:type="pct"/>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14:paraId="442888DA">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pPr>
            <w:r>
              <w:rPr>
                <w:rFonts w:hint="eastAsia" w:ascii="宋体" w:hAnsi="宋体" w:eastAsia="宋体" w:cs="宋体"/>
                <w:sz w:val="24"/>
                <w:szCs w:val="24"/>
              </w:rPr>
              <w:t> </w:t>
            </w:r>
          </w:p>
        </w:tc>
        <w:tc>
          <w:tcPr>
            <w:tcW w:w="1159" w:type="pct"/>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14:paraId="1BECA19E">
            <w:pPr>
              <w:pStyle w:val="6"/>
              <w:keepNext w:val="0"/>
              <w:keepLines w:val="0"/>
              <w:pageBreakBefore w:val="0"/>
              <w:widowControl/>
              <w:suppressLineNumbers w:val="0"/>
              <w:kinsoku/>
              <w:wordWrap/>
              <w:overflowPunct/>
              <w:topLinePunct w:val="0"/>
              <w:autoSpaceDE/>
              <w:autoSpaceDN/>
              <w:bidi w:val="0"/>
              <w:adjustRightInd/>
              <w:snapToGrid/>
              <w:spacing w:before="6" w:beforeAutospacing="0" w:after="100" w:afterAutospacing="1" w:line="590" w:lineRule="exact"/>
              <w:ind w:left="0" w:right="552"/>
              <w:jc w:val="right"/>
            </w:pPr>
            <w:r>
              <w:rPr>
                <w:rFonts w:hint="eastAsia" w:ascii="宋体" w:hAnsi="宋体" w:eastAsia="宋体" w:cs="宋体"/>
                <w:spacing w:val="-3"/>
                <w:sz w:val="24"/>
                <w:szCs w:val="24"/>
              </w:rPr>
              <w:t>联系电话</w:t>
            </w:r>
          </w:p>
        </w:tc>
        <w:tc>
          <w:tcPr>
            <w:tcW w:w="1413" w:type="pct"/>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14:paraId="19A38707">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pPr>
            <w:r>
              <w:rPr>
                <w:rFonts w:hint="eastAsia" w:ascii="宋体" w:hAnsi="宋体" w:eastAsia="宋体" w:cs="宋体"/>
                <w:sz w:val="24"/>
                <w:szCs w:val="24"/>
              </w:rPr>
              <w:t> </w:t>
            </w:r>
          </w:p>
        </w:tc>
      </w:tr>
      <w:tr w14:paraId="540AE0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1216" w:type="pct"/>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14:paraId="72F76106">
            <w:pPr>
              <w:pStyle w:val="6"/>
              <w:keepNext w:val="0"/>
              <w:keepLines w:val="0"/>
              <w:pageBreakBefore w:val="0"/>
              <w:widowControl/>
              <w:suppressLineNumbers w:val="0"/>
              <w:kinsoku/>
              <w:wordWrap/>
              <w:overflowPunct/>
              <w:topLinePunct w:val="0"/>
              <w:autoSpaceDE/>
              <w:autoSpaceDN/>
              <w:bidi w:val="0"/>
              <w:adjustRightInd/>
              <w:snapToGrid/>
              <w:spacing w:before="7" w:beforeAutospacing="0" w:after="100" w:afterAutospacing="1" w:line="590" w:lineRule="exact"/>
              <w:ind w:left="8" w:right="0"/>
              <w:jc w:val="center"/>
            </w:pPr>
            <w:r>
              <w:rPr>
                <w:rFonts w:hint="eastAsia" w:ascii="宋体" w:hAnsi="宋体" w:eastAsia="宋体" w:cs="宋体"/>
                <w:spacing w:val="-2"/>
                <w:sz w:val="24"/>
                <w:szCs w:val="24"/>
              </w:rPr>
              <w:t>服务机构类型</w:t>
            </w:r>
          </w:p>
        </w:tc>
        <w:tc>
          <w:tcPr>
            <w:tcW w:w="3783" w:type="pct"/>
            <w:gridSpan w:val="4"/>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14:paraId="06F3621C">
            <w:pPr>
              <w:pStyle w:val="6"/>
              <w:keepNext w:val="0"/>
              <w:keepLines w:val="0"/>
              <w:pageBreakBefore w:val="0"/>
              <w:widowControl/>
              <w:suppressLineNumbers w:val="0"/>
              <w:kinsoku/>
              <w:wordWrap/>
              <w:overflowPunct/>
              <w:topLinePunct w:val="0"/>
              <w:autoSpaceDE/>
              <w:autoSpaceDN/>
              <w:bidi w:val="0"/>
              <w:adjustRightInd/>
              <w:snapToGrid/>
              <w:spacing w:before="7" w:beforeAutospacing="0" w:after="100" w:afterAutospacing="1" w:line="590" w:lineRule="exact"/>
              <w:ind w:left="108" w:right="0"/>
            </w:pPr>
            <w:r>
              <w:rPr>
                <w:rFonts w:hint="eastAsia" w:ascii="宋体" w:hAnsi="宋体" w:eastAsia="宋体" w:cs="宋体"/>
                <w:sz w:val="24"/>
                <w:szCs w:val="24"/>
              </w:rPr>
              <w:t>□医疗机</w:t>
            </w:r>
            <w:r>
              <w:rPr>
                <w:rFonts w:hint="eastAsia" w:ascii="宋体" w:hAnsi="宋体" w:eastAsia="宋体" w:cs="宋体"/>
                <w:spacing w:val="-10"/>
                <w:sz w:val="24"/>
                <w:szCs w:val="24"/>
              </w:rPr>
              <w:t>构</w:t>
            </w:r>
            <w:r>
              <w:rPr>
                <w:rFonts w:hint="eastAsia" w:ascii="宋体" w:hAnsi="宋体" w:eastAsia="宋体" w:cs="宋体"/>
                <w:sz w:val="24"/>
                <w:szCs w:val="24"/>
              </w:rPr>
              <w:t xml:space="preserve"> □养老机</w:t>
            </w:r>
            <w:r>
              <w:rPr>
                <w:rFonts w:hint="eastAsia" w:ascii="宋体" w:hAnsi="宋体" w:eastAsia="宋体" w:cs="宋体"/>
                <w:spacing w:val="-10"/>
                <w:sz w:val="24"/>
                <w:szCs w:val="24"/>
              </w:rPr>
              <w:t>构</w:t>
            </w:r>
            <w:r>
              <w:rPr>
                <w:rFonts w:hint="eastAsia" w:ascii="宋体" w:hAnsi="宋体" w:eastAsia="宋体" w:cs="宋体"/>
                <w:sz w:val="24"/>
                <w:szCs w:val="24"/>
              </w:rPr>
              <w:t xml:space="preserve"> □其</w:t>
            </w:r>
            <w:r>
              <w:rPr>
                <w:rFonts w:hint="eastAsia" w:ascii="宋体" w:hAnsi="宋体" w:eastAsia="宋体" w:cs="宋体"/>
                <w:spacing w:val="-10"/>
                <w:sz w:val="24"/>
                <w:szCs w:val="24"/>
              </w:rPr>
              <w:t>它 </w:t>
            </w:r>
          </w:p>
        </w:tc>
      </w:tr>
      <w:tr w14:paraId="072EC7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1216" w:type="pct"/>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14:paraId="3E10D7C0">
            <w:pPr>
              <w:pStyle w:val="6"/>
              <w:keepNext w:val="0"/>
              <w:keepLines w:val="0"/>
              <w:pageBreakBefore w:val="0"/>
              <w:widowControl/>
              <w:suppressLineNumbers w:val="0"/>
              <w:kinsoku/>
              <w:wordWrap/>
              <w:overflowPunct/>
              <w:topLinePunct w:val="0"/>
              <w:autoSpaceDE/>
              <w:autoSpaceDN/>
              <w:bidi w:val="0"/>
              <w:adjustRightInd/>
              <w:snapToGrid/>
              <w:spacing w:before="7" w:beforeAutospacing="0" w:after="100" w:afterAutospacing="1" w:line="590" w:lineRule="exact"/>
              <w:ind w:left="8" w:right="0"/>
              <w:jc w:val="center"/>
            </w:pPr>
            <w:r>
              <w:rPr>
                <w:rFonts w:hint="eastAsia" w:ascii="宋体" w:hAnsi="宋体" w:eastAsia="宋体" w:cs="宋体"/>
                <w:spacing w:val="-2"/>
                <w:sz w:val="24"/>
                <w:szCs w:val="24"/>
              </w:rPr>
              <w:t>服务机构分类</w:t>
            </w:r>
          </w:p>
        </w:tc>
        <w:tc>
          <w:tcPr>
            <w:tcW w:w="1211" w:type="pct"/>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14:paraId="79B0CDEB">
            <w:pPr>
              <w:pStyle w:val="6"/>
              <w:keepNext w:val="0"/>
              <w:keepLines w:val="0"/>
              <w:pageBreakBefore w:val="0"/>
              <w:widowControl/>
              <w:suppressLineNumbers w:val="0"/>
              <w:kinsoku/>
              <w:wordWrap/>
              <w:overflowPunct/>
              <w:topLinePunct w:val="0"/>
              <w:autoSpaceDE/>
              <w:autoSpaceDN/>
              <w:bidi w:val="0"/>
              <w:adjustRightInd/>
              <w:snapToGrid/>
              <w:spacing w:before="7" w:beforeAutospacing="0" w:after="100" w:afterAutospacing="1" w:line="590" w:lineRule="exact"/>
              <w:ind w:left="108" w:right="0"/>
            </w:pPr>
            <w:r>
              <w:rPr>
                <w:rFonts w:hint="eastAsia" w:ascii="宋体" w:hAnsi="宋体" w:eastAsia="宋体" w:cs="宋体"/>
                <w:sz w:val="24"/>
                <w:szCs w:val="24"/>
              </w:rPr>
              <w:t>□非营</w:t>
            </w:r>
            <w:r>
              <w:rPr>
                <w:rFonts w:hint="eastAsia" w:ascii="宋体" w:hAnsi="宋体" w:eastAsia="宋体" w:cs="宋体"/>
                <w:spacing w:val="-10"/>
                <w:sz w:val="24"/>
                <w:szCs w:val="24"/>
              </w:rPr>
              <w:t>利</w:t>
            </w:r>
            <w:r>
              <w:rPr>
                <w:rFonts w:hint="eastAsia" w:ascii="宋体" w:hAnsi="宋体" w:eastAsia="宋体" w:cs="宋体"/>
                <w:sz w:val="24"/>
                <w:szCs w:val="24"/>
              </w:rPr>
              <w:t xml:space="preserve"> □营</w:t>
            </w:r>
            <w:r>
              <w:rPr>
                <w:rFonts w:hint="eastAsia" w:ascii="宋体" w:hAnsi="宋体" w:eastAsia="宋体" w:cs="宋体"/>
                <w:spacing w:val="-10"/>
                <w:sz w:val="24"/>
                <w:szCs w:val="24"/>
              </w:rPr>
              <w:t>利</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top"/>
          </w:tcPr>
          <w:p w14:paraId="4B6A0A42">
            <w:pPr>
              <w:pStyle w:val="6"/>
              <w:keepNext w:val="0"/>
              <w:keepLines w:val="0"/>
              <w:pageBreakBefore w:val="0"/>
              <w:widowControl/>
              <w:suppressLineNumbers w:val="0"/>
              <w:kinsoku/>
              <w:wordWrap/>
              <w:overflowPunct/>
              <w:topLinePunct w:val="0"/>
              <w:autoSpaceDE/>
              <w:autoSpaceDN/>
              <w:bidi w:val="0"/>
              <w:adjustRightInd/>
              <w:snapToGrid/>
              <w:spacing w:before="7" w:beforeAutospacing="0" w:after="100" w:afterAutospacing="1" w:line="590" w:lineRule="exact"/>
              <w:ind w:left="108" w:right="0"/>
            </w:pPr>
            <w:r>
              <w:rPr>
                <w:rFonts w:hint="eastAsia" w:ascii="宋体" w:hAnsi="宋体" w:eastAsia="宋体" w:cs="宋体"/>
                <w:spacing w:val="-2"/>
                <w:sz w:val="24"/>
                <w:szCs w:val="24"/>
              </w:rPr>
              <w:t>所有制形式</w:t>
            </w:r>
          </w:p>
        </w:tc>
        <w:tc>
          <w:tcPr>
            <w:tcW w:w="1413" w:type="pct"/>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top"/>
          </w:tcPr>
          <w:p w14:paraId="0606EA8A">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pPr>
            <w:r>
              <w:rPr>
                <w:rFonts w:hint="eastAsia" w:ascii="宋体" w:hAnsi="宋体" w:eastAsia="宋体" w:cs="宋体"/>
                <w:sz w:val="24"/>
                <w:szCs w:val="24"/>
              </w:rPr>
              <w:t> </w:t>
            </w:r>
          </w:p>
        </w:tc>
      </w:tr>
      <w:tr w14:paraId="6C0E55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61" w:hRule="atLeast"/>
          <w:jc w:val="center"/>
        </w:trPr>
        <w:tc>
          <w:tcPr>
            <w:tcW w:w="2427" w:type="pct"/>
            <w:gridSpan w:val="3"/>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14:paraId="5ACEED70">
            <w:pPr>
              <w:pStyle w:val="6"/>
              <w:keepNext w:val="0"/>
              <w:keepLines w:val="0"/>
              <w:pageBreakBefore w:val="0"/>
              <w:widowControl/>
              <w:suppressLineNumbers w:val="0"/>
              <w:kinsoku/>
              <w:wordWrap/>
              <w:overflowPunct/>
              <w:topLinePunct w:val="0"/>
              <w:autoSpaceDE/>
              <w:autoSpaceDN/>
              <w:bidi w:val="0"/>
              <w:adjustRightInd/>
              <w:snapToGrid/>
              <w:spacing w:before="207" w:beforeAutospacing="0" w:after="100" w:afterAutospacing="1" w:line="590" w:lineRule="exact"/>
              <w:ind w:left="106" w:right="-29"/>
            </w:pPr>
            <w:r>
              <w:rPr>
                <w:rFonts w:hint="eastAsia" w:ascii="宋体" w:hAnsi="宋体" w:eastAsia="宋体" w:cs="宋体"/>
                <w:spacing w:val="-6"/>
                <w:sz w:val="24"/>
                <w:szCs w:val="24"/>
              </w:rPr>
              <w:t>医疗护理服务配备情况</w:t>
            </w:r>
            <w:r>
              <w:rPr>
                <w:rFonts w:hint="eastAsia" w:ascii="宋体" w:hAnsi="宋体" w:eastAsia="宋体" w:cs="宋体"/>
                <w:sz w:val="24"/>
                <w:szCs w:val="24"/>
              </w:rPr>
              <w:t>（养老机构填写</w:t>
            </w:r>
            <w:r>
              <w:rPr>
                <w:rFonts w:hint="eastAsia" w:ascii="宋体" w:hAnsi="宋体" w:eastAsia="宋体" w:cs="宋体"/>
                <w:spacing w:val="-10"/>
                <w:sz w:val="24"/>
                <w:szCs w:val="24"/>
              </w:rPr>
              <w:t>）</w:t>
            </w:r>
          </w:p>
        </w:tc>
        <w:tc>
          <w:tcPr>
            <w:tcW w:w="2572" w:type="pct"/>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14:paraId="4A71BA10">
            <w:pPr>
              <w:pStyle w:val="6"/>
              <w:keepNext w:val="0"/>
              <w:keepLines w:val="0"/>
              <w:pageBreakBefore w:val="0"/>
              <w:widowControl/>
              <w:suppressLineNumbers w:val="0"/>
              <w:kinsoku/>
              <w:wordWrap/>
              <w:overflowPunct/>
              <w:topLinePunct w:val="0"/>
              <w:autoSpaceDE/>
              <w:autoSpaceDN/>
              <w:bidi w:val="0"/>
              <w:adjustRightInd/>
              <w:snapToGrid/>
              <w:spacing w:before="7" w:beforeAutospacing="0" w:after="100" w:afterAutospacing="1" w:line="590" w:lineRule="exact"/>
              <w:ind w:left="108" w:right="0"/>
            </w:pPr>
            <w:r>
              <w:rPr>
                <w:rFonts w:hint="eastAsia" w:ascii="宋体" w:hAnsi="宋体" w:eastAsia="宋体" w:cs="宋体"/>
                <w:spacing w:val="-12"/>
                <w:sz w:val="24"/>
                <w:szCs w:val="24"/>
              </w:rPr>
              <w:t>□</w:t>
            </w:r>
            <w:r>
              <w:rPr>
                <w:rFonts w:hint="eastAsia" w:ascii="宋体" w:hAnsi="宋体" w:eastAsia="宋体" w:cs="宋体"/>
                <w:b w:val="0"/>
                <w:bCs w:val="0"/>
                <w:spacing w:val="-12"/>
                <w:sz w:val="24"/>
                <w:szCs w:val="24"/>
              </w:rPr>
              <w:t>内设医疗机构</w:t>
            </w:r>
          </w:p>
          <w:p w14:paraId="4D30D9FC">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108" w:right="0"/>
            </w:pPr>
            <w:r>
              <w:rPr>
                <w:rFonts w:hint="eastAsia" w:ascii="宋体" w:hAnsi="宋体" w:eastAsia="宋体" w:cs="宋体"/>
                <w:spacing w:val="-12"/>
                <w:sz w:val="24"/>
                <w:szCs w:val="24"/>
              </w:rPr>
              <w:t>□与定点医疗机构签订服务协议</w:t>
            </w:r>
          </w:p>
        </w:tc>
      </w:tr>
      <w:tr w14:paraId="1E522C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5000" w:type="pct"/>
            <w:gridSpan w:val="5"/>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14:paraId="476A9759">
            <w:pPr>
              <w:pStyle w:val="6"/>
              <w:keepNext w:val="0"/>
              <w:keepLines w:val="0"/>
              <w:pageBreakBefore w:val="0"/>
              <w:widowControl/>
              <w:suppressLineNumbers w:val="0"/>
              <w:kinsoku/>
              <w:wordWrap/>
              <w:overflowPunct/>
              <w:topLinePunct w:val="0"/>
              <w:autoSpaceDE/>
              <w:autoSpaceDN/>
              <w:bidi w:val="0"/>
              <w:adjustRightInd/>
              <w:snapToGrid/>
              <w:spacing w:before="6" w:beforeAutospacing="0" w:after="100" w:afterAutospacing="1" w:line="590" w:lineRule="exact"/>
              <w:ind w:left="142" w:right="0"/>
              <w:jc w:val="center"/>
            </w:pPr>
            <w:r>
              <w:rPr>
                <w:rFonts w:hint="eastAsia" w:ascii="宋体" w:hAnsi="宋体" w:eastAsia="宋体" w:cs="宋体"/>
                <w:b/>
                <w:bCs/>
                <w:spacing w:val="-1"/>
                <w:sz w:val="24"/>
                <w:szCs w:val="24"/>
              </w:rPr>
              <w:t>以下根据机构类型及实际情况对应填写</w:t>
            </w:r>
          </w:p>
        </w:tc>
      </w:tr>
      <w:tr w14:paraId="3005B5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1548" w:type="pct"/>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14:paraId="2D0DC8A5">
            <w:pPr>
              <w:pStyle w:val="6"/>
              <w:keepNext w:val="0"/>
              <w:keepLines w:val="0"/>
              <w:pageBreakBefore w:val="0"/>
              <w:widowControl/>
              <w:suppressLineNumbers w:val="0"/>
              <w:kinsoku/>
              <w:wordWrap/>
              <w:overflowPunct/>
              <w:topLinePunct w:val="0"/>
              <w:autoSpaceDE/>
              <w:autoSpaceDN/>
              <w:bidi w:val="0"/>
              <w:adjustRightInd/>
              <w:snapToGrid/>
              <w:spacing w:before="7" w:beforeAutospacing="0" w:after="100" w:afterAutospacing="1" w:line="590" w:lineRule="exact"/>
              <w:ind w:left="0" w:right="0" w:firstLine="236"/>
            </w:pPr>
            <w:r>
              <w:rPr>
                <w:rFonts w:hint="eastAsia" w:ascii="宋体" w:hAnsi="宋体" w:eastAsia="宋体" w:cs="宋体"/>
                <w:spacing w:val="-1"/>
                <w:sz w:val="24"/>
                <w:szCs w:val="24"/>
              </w:rPr>
              <w:t>医疗机构执业许可证号</w:t>
            </w:r>
          </w:p>
        </w:tc>
        <w:tc>
          <w:tcPr>
            <w:tcW w:w="3451" w:type="pct"/>
            <w:gridSpan w:val="3"/>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top"/>
          </w:tcPr>
          <w:p w14:paraId="5B2DE9AB">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pPr>
            <w:r>
              <w:rPr>
                <w:rFonts w:hint="eastAsia" w:ascii="宋体" w:hAnsi="宋体" w:eastAsia="宋体" w:cs="宋体"/>
                <w:sz w:val="24"/>
                <w:szCs w:val="24"/>
              </w:rPr>
              <w:t> </w:t>
            </w:r>
          </w:p>
        </w:tc>
      </w:tr>
      <w:tr w14:paraId="4FC04E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1548" w:type="pct"/>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14:paraId="657E70D2">
            <w:pPr>
              <w:pStyle w:val="6"/>
              <w:keepNext w:val="0"/>
              <w:keepLines w:val="0"/>
              <w:pageBreakBefore w:val="0"/>
              <w:widowControl/>
              <w:suppressLineNumbers w:val="0"/>
              <w:kinsoku/>
              <w:wordWrap/>
              <w:overflowPunct/>
              <w:topLinePunct w:val="0"/>
              <w:autoSpaceDE/>
              <w:autoSpaceDN/>
              <w:bidi w:val="0"/>
              <w:adjustRightInd/>
              <w:snapToGrid/>
              <w:spacing w:before="7" w:beforeAutospacing="0" w:after="100" w:afterAutospacing="1" w:line="590" w:lineRule="exact"/>
              <w:ind w:left="0" w:right="0" w:firstLine="236"/>
            </w:pPr>
            <w:r>
              <w:rPr>
                <w:rFonts w:hint="eastAsia" w:ascii="宋体" w:hAnsi="宋体" w:eastAsia="宋体" w:cs="宋体"/>
                <w:spacing w:val="-1"/>
                <w:sz w:val="24"/>
                <w:szCs w:val="24"/>
              </w:rPr>
              <w:t>养老机构设立许可证号</w:t>
            </w:r>
          </w:p>
        </w:tc>
        <w:tc>
          <w:tcPr>
            <w:tcW w:w="3451" w:type="pct"/>
            <w:gridSpan w:val="3"/>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14:paraId="32601B90">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pPr>
            <w:r>
              <w:rPr>
                <w:rFonts w:hint="eastAsia" w:ascii="宋体" w:hAnsi="宋体" w:eastAsia="宋体" w:cs="宋体"/>
                <w:sz w:val="24"/>
                <w:szCs w:val="24"/>
              </w:rPr>
              <w:t> </w:t>
            </w:r>
          </w:p>
        </w:tc>
      </w:tr>
      <w:tr w14:paraId="13CCC7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1548" w:type="pct"/>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14:paraId="221AFCBF">
            <w:pPr>
              <w:pStyle w:val="6"/>
              <w:keepNext w:val="0"/>
              <w:keepLines w:val="0"/>
              <w:pageBreakBefore w:val="0"/>
              <w:widowControl/>
              <w:suppressLineNumbers w:val="0"/>
              <w:kinsoku/>
              <w:wordWrap/>
              <w:overflowPunct/>
              <w:topLinePunct w:val="0"/>
              <w:autoSpaceDE/>
              <w:autoSpaceDN/>
              <w:bidi w:val="0"/>
              <w:adjustRightInd/>
              <w:snapToGrid/>
              <w:spacing w:before="7" w:beforeAutospacing="0" w:after="100" w:afterAutospacing="1" w:line="590" w:lineRule="exact"/>
              <w:ind w:left="440" w:right="0"/>
            </w:pPr>
            <w:r>
              <w:rPr>
                <w:rFonts w:hint="eastAsia" w:ascii="宋体" w:hAnsi="宋体" w:eastAsia="宋体" w:cs="宋体"/>
                <w:spacing w:val="-2"/>
                <w:sz w:val="24"/>
                <w:szCs w:val="24"/>
              </w:rPr>
              <w:t>机构经营许可证号</w:t>
            </w:r>
          </w:p>
        </w:tc>
        <w:tc>
          <w:tcPr>
            <w:tcW w:w="3451" w:type="pct"/>
            <w:gridSpan w:val="3"/>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14:paraId="51B54392">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pPr>
            <w:r>
              <w:rPr>
                <w:rFonts w:hint="eastAsia" w:ascii="宋体" w:hAnsi="宋体" w:eastAsia="宋体" w:cs="宋体"/>
                <w:sz w:val="24"/>
                <w:szCs w:val="24"/>
              </w:rPr>
              <w:t> </w:t>
            </w:r>
          </w:p>
        </w:tc>
      </w:tr>
      <w:tr w14:paraId="0979A5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98" w:hRule="atLeast"/>
          <w:jc w:val="center"/>
        </w:trPr>
        <w:tc>
          <w:tcPr>
            <w:tcW w:w="5000" w:type="pct"/>
            <w:gridSpan w:val="5"/>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14:paraId="004CBE52">
            <w:pPr>
              <w:pStyle w:val="6"/>
              <w:keepNext w:val="0"/>
              <w:keepLines w:val="0"/>
              <w:pageBreakBefore w:val="0"/>
              <w:widowControl/>
              <w:suppressLineNumbers w:val="0"/>
              <w:kinsoku/>
              <w:wordWrap/>
              <w:overflowPunct/>
              <w:topLinePunct w:val="0"/>
              <w:autoSpaceDE/>
              <w:autoSpaceDN/>
              <w:bidi w:val="0"/>
              <w:adjustRightInd/>
              <w:snapToGrid/>
              <w:spacing w:before="8" w:beforeAutospacing="0" w:after="100" w:afterAutospacing="1" w:line="590" w:lineRule="exact"/>
              <w:ind w:left="672" w:right="0"/>
            </w:pPr>
            <w:r>
              <w:rPr>
                <w:rFonts w:hint="eastAsia" w:ascii="宋体" w:hAnsi="宋体" w:eastAsia="宋体" w:cs="宋体"/>
                <w:sz w:val="24"/>
                <w:szCs w:val="24"/>
              </w:rPr>
              <w:t>□事业单位法人证书</w:t>
            </w:r>
            <w:r>
              <w:rPr>
                <w:rFonts w:hint="eastAsia" w:ascii="宋体" w:hAnsi="宋体" w:eastAsia="宋体" w:cs="宋体"/>
                <w:spacing w:val="-10"/>
                <w:sz w:val="24"/>
                <w:szCs w:val="24"/>
              </w:rPr>
              <w:t>号</w:t>
            </w:r>
            <w:r>
              <w:rPr>
                <w:rFonts w:hint="eastAsia" w:ascii="宋体" w:hAnsi="宋体" w:eastAsia="宋体" w:cs="宋体"/>
                <w:sz w:val="24"/>
                <w:szCs w:val="24"/>
              </w:rPr>
              <w:t xml:space="preserve"> □民办非企业单位登记证书</w:t>
            </w:r>
            <w:r>
              <w:rPr>
                <w:rFonts w:hint="eastAsia" w:ascii="宋体" w:hAnsi="宋体" w:eastAsia="宋体" w:cs="宋体"/>
                <w:spacing w:val="-10"/>
                <w:sz w:val="24"/>
                <w:szCs w:val="24"/>
              </w:rPr>
              <w:t>号</w:t>
            </w:r>
            <w:r>
              <w:rPr>
                <w:rFonts w:hint="eastAsia" w:ascii="宋体" w:hAnsi="宋体" w:eastAsia="宋体" w:cs="宋体"/>
                <w:sz w:val="24"/>
                <w:szCs w:val="24"/>
              </w:rPr>
              <w:t xml:space="preserve"> □营业执照</w:t>
            </w:r>
            <w:r>
              <w:rPr>
                <w:rFonts w:hint="eastAsia" w:ascii="宋体" w:hAnsi="宋体" w:eastAsia="宋体" w:cs="宋体"/>
                <w:spacing w:val="-10"/>
                <w:sz w:val="24"/>
                <w:szCs w:val="24"/>
              </w:rPr>
              <w:t>号</w:t>
            </w:r>
          </w:p>
        </w:tc>
      </w:tr>
      <w:tr w14:paraId="4A121F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1548" w:type="pct"/>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14:paraId="4A5E6E7F">
            <w:pPr>
              <w:pStyle w:val="6"/>
              <w:keepNext w:val="0"/>
              <w:keepLines w:val="0"/>
              <w:pageBreakBefore w:val="0"/>
              <w:widowControl/>
              <w:suppressLineNumbers w:val="0"/>
              <w:kinsoku/>
              <w:wordWrap/>
              <w:overflowPunct/>
              <w:topLinePunct w:val="0"/>
              <w:autoSpaceDE/>
              <w:autoSpaceDN/>
              <w:bidi w:val="0"/>
              <w:adjustRightInd/>
              <w:snapToGrid/>
              <w:spacing w:before="8" w:beforeAutospacing="0" w:after="100" w:afterAutospacing="1" w:line="590" w:lineRule="exact"/>
              <w:ind w:left="0" w:right="0" w:firstLine="234"/>
            </w:pPr>
            <w:r>
              <w:rPr>
                <w:rFonts w:hint="eastAsia" w:ascii="宋体" w:hAnsi="宋体" w:eastAsia="宋体" w:cs="宋体"/>
                <w:spacing w:val="-2"/>
                <w:sz w:val="24"/>
                <w:szCs w:val="24"/>
              </w:rPr>
              <w:t>申请定点服务类型</w:t>
            </w:r>
          </w:p>
        </w:tc>
        <w:tc>
          <w:tcPr>
            <w:tcW w:w="3451" w:type="pct"/>
            <w:gridSpan w:val="3"/>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top"/>
          </w:tcPr>
          <w:p w14:paraId="28963406">
            <w:pPr>
              <w:pStyle w:val="6"/>
              <w:keepNext w:val="0"/>
              <w:keepLines w:val="0"/>
              <w:pageBreakBefore w:val="0"/>
              <w:widowControl/>
              <w:suppressLineNumbers w:val="0"/>
              <w:kinsoku/>
              <w:wordWrap/>
              <w:overflowPunct/>
              <w:topLinePunct w:val="0"/>
              <w:autoSpaceDE/>
              <w:autoSpaceDN/>
              <w:bidi w:val="0"/>
              <w:adjustRightInd/>
              <w:snapToGrid/>
              <w:spacing w:before="8" w:beforeAutospacing="0" w:after="100" w:afterAutospacing="1" w:line="590" w:lineRule="exact"/>
              <w:ind w:left="107" w:right="0"/>
            </w:pPr>
            <w:r>
              <w:rPr>
                <w:rFonts w:hint="eastAsia" w:ascii="宋体" w:hAnsi="宋体" w:eastAsia="宋体" w:cs="宋体"/>
                <w:sz w:val="24"/>
                <w:szCs w:val="24"/>
              </w:rPr>
              <w:t>□机构护</w:t>
            </w:r>
            <w:r>
              <w:rPr>
                <w:rFonts w:hint="eastAsia" w:ascii="宋体" w:hAnsi="宋体" w:eastAsia="宋体" w:cs="宋体"/>
                <w:spacing w:val="-10"/>
                <w:sz w:val="24"/>
                <w:szCs w:val="24"/>
              </w:rPr>
              <w:t xml:space="preserve">理 （医疗机构/养老机构） </w:t>
            </w:r>
            <w:r>
              <w:rPr>
                <w:rFonts w:hint="eastAsia" w:ascii="宋体" w:hAnsi="宋体" w:eastAsia="宋体" w:cs="宋体"/>
                <w:sz w:val="24"/>
                <w:szCs w:val="24"/>
              </w:rPr>
              <w:t>□居家护</w:t>
            </w:r>
            <w:r>
              <w:rPr>
                <w:rFonts w:hint="eastAsia" w:ascii="宋体" w:hAnsi="宋体" w:eastAsia="宋体" w:cs="宋体"/>
                <w:spacing w:val="-10"/>
                <w:sz w:val="24"/>
                <w:szCs w:val="24"/>
              </w:rPr>
              <w:t>理  </w:t>
            </w:r>
            <w:r>
              <w:rPr>
                <w:rFonts w:hint="eastAsia" w:ascii="宋体" w:hAnsi="宋体" w:eastAsia="宋体" w:cs="宋体"/>
                <w:sz w:val="24"/>
                <w:szCs w:val="24"/>
              </w:rPr>
              <w:t>□社区护</w:t>
            </w:r>
            <w:r>
              <w:rPr>
                <w:rFonts w:hint="eastAsia" w:ascii="宋体" w:hAnsi="宋体" w:eastAsia="宋体" w:cs="宋体"/>
                <w:spacing w:val="-10"/>
                <w:sz w:val="24"/>
                <w:szCs w:val="24"/>
              </w:rPr>
              <w:t>理</w:t>
            </w:r>
          </w:p>
        </w:tc>
      </w:tr>
      <w:tr w14:paraId="623EAB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1548" w:type="pct"/>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14:paraId="7F22828A">
            <w:pPr>
              <w:pStyle w:val="6"/>
              <w:keepNext w:val="0"/>
              <w:keepLines w:val="0"/>
              <w:pageBreakBefore w:val="0"/>
              <w:widowControl/>
              <w:suppressLineNumbers w:val="0"/>
              <w:kinsoku/>
              <w:wordWrap/>
              <w:overflowPunct/>
              <w:topLinePunct w:val="0"/>
              <w:autoSpaceDE/>
              <w:autoSpaceDN/>
              <w:bidi w:val="0"/>
              <w:adjustRightInd/>
              <w:snapToGrid/>
              <w:spacing w:before="6" w:beforeAutospacing="0" w:after="100" w:afterAutospacing="1" w:line="590" w:lineRule="exact"/>
              <w:ind w:left="0" w:right="0" w:firstLine="234"/>
            </w:pPr>
            <w:r>
              <w:rPr>
                <w:rFonts w:hint="eastAsia" w:ascii="宋体" w:hAnsi="宋体" w:eastAsia="宋体" w:cs="宋体"/>
                <w:spacing w:val="-2"/>
                <w:sz w:val="24"/>
                <w:szCs w:val="24"/>
              </w:rPr>
              <w:t>护理病区床位数</w:t>
            </w:r>
          </w:p>
        </w:tc>
        <w:tc>
          <w:tcPr>
            <w:tcW w:w="3451" w:type="pct"/>
            <w:gridSpan w:val="3"/>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14:paraId="3CB21477">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0" w:right="0"/>
            </w:pPr>
            <w:r>
              <w:rPr>
                <w:rFonts w:hint="eastAsia" w:ascii="宋体" w:hAnsi="宋体" w:eastAsia="宋体" w:cs="宋体"/>
                <w:sz w:val="24"/>
                <w:szCs w:val="24"/>
              </w:rPr>
              <w:t> </w:t>
            </w:r>
          </w:p>
        </w:tc>
      </w:tr>
      <w:tr w14:paraId="554955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2" w:hRule="atLeast"/>
          <w:jc w:val="center"/>
        </w:trPr>
        <w:tc>
          <w:tcPr>
            <w:tcW w:w="5000" w:type="pct"/>
            <w:gridSpan w:val="5"/>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14:paraId="4D98DB4E">
            <w:pPr>
              <w:pStyle w:val="6"/>
              <w:keepNext w:val="0"/>
              <w:keepLines w:val="0"/>
              <w:pageBreakBefore w:val="0"/>
              <w:widowControl/>
              <w:suppressLineNumbers w:val="0"/>
              <w:kinsoku/>
              <w:wordWrap/>
              <w:overflowPunct/>
              <w:topLinePunct w:val="0"/>
              <w:autoSpaceDE/>
              <w:autoSpaceDN/>
              <w:bidi w:val="0"/>
              <w:adjustRightInd/>
              <w:snapToGrid/>
              <w:spacing w:before="6" w:beforeAutospacing="0" w:after="100" w:afterAutospacing="1" w:line="590" w:lineRule="exact"/>
              <w:ind w:left="0" w:right="0" w:firstLine="234"/>
            </w:pPr>
            <w:r>
              <w:rPr>
                <w:rFonts w:hint="eastAsia" w:ascii="宋体" w:hAnsi="宋体" w:eastAsia="宋体" w:cs="宋体"/>
                <w:spacing w:val="-2"/>
                <w:sz w:val="24"/>
                <w:szCs w:val="24"/>
              </w:rPr>
              <w:t>服务站点地址 1：</w:t>
            </w:r>
          </w:p>
        </w:tc>
      </w:tr>
      <w:tr w14:paraId="1833EC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8" w:hRule="atLeast"/>
          <w:jc w:val="center"/>
        </w:trPr>
        <w:tc>
          <w:tcPr>
            <w:tcW w:w="5000" w:type="pct"/>
            <w:gridSpan w:val="5"/>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14:paraId="2854DFEA">
            <w:pPr>
              <w:pStyle w:val="6"/>
              <w:keepNext w:val="0"/>
              <w:keepLines w:val="0"/>
              <w:pageBreakBefore w:val="0"/>
              <w:widowControl/>
              <w:suppressLineNumbers w:val="0"/>
              <w:kinsoku/>
              <w:wordWrap/>
              <w:overflowPunct/>
              <w:topLinePunct w:val="0"/>
              <w:autoSpaceDE/>
              <w:autoSpaceDN/>
              <w:bidi w:val="0"/>
              <w:adjustRightInd/>
              <w:snapToGrid/>
              <w:spacing w:before="6" w:beforeAutospacing="0" w:after="100" w:afterAutospacing="1" w:line="590" w:lineRule="exact"/>
              <w:ind w:left="0" w:right="0" w:firstLine="234"/>
            </w:pPr>
            <w:r>
              <w:rPr>
                <w:rFonts w:hint="eastAsia" w:ascii="宋体" w:hAnsi="宋体" w:eastAsia="宋体" w:cs="宋体"/>
                <w:spacing w:val="-2"/>
                <w:sz w:val="24"/>
                <w:szCs w:val="24"/>
              </w:rPr>
              <w:t>服务站点地址 2：</w:t>
            </w:r>
          </w:p>
        </w:tc>
      </w:tr>
      <w:tr w14:paraId="7ECD674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7" w:hRule="atLeast"/>
          <w:jc w:val="center"/>
        </w:trPr>
        <w:tc>
          <w:tcPr>
            <w:tcW w:w="5000" w:type="pct"/>
            <w:gridSpan w:val="5"/>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14:paraId="1350AFFD">
            <w:pPr>
              <w:pStyle w:val="6"/>
              <w:keepNext w:val="0"/>
              <w:keepLines w:val="0"/>
              <w:pageBreakBefore w:val="0"/>
              <w:widowControl/>
              <w:suppressLineNumbers w:val="0"/>
              <w:kinsoku/>
              <w:wordWrap/>
              <w:overflowPunct/>
              <w:topLinePunct w:val="0"/>
              <w:autoSpaceDE/>
              <w:autoSpaceDN/>
              <w:bidi w:val="0"/>
              <w:adjustRightInd/>
              <w:snapToGrid/>
              <w:spacing w:before="6" w:beforeAutospacing="0" w:after="100" w:afterAutospacing="1" w:line="590" w:lineRule="exact"/>
              <w:ind w:left="0" w:right="0" w:firstLine="234"/>
            </w:pPr>
            <w:r>
              <w:rPr>
                <w:rFonts w:hint="eastAsia" w:ascii="宋体" w:hAnsi="宋体" w:eastAsia="宋体" w:cs="宋体"/>
                <w:spacing w:val="-2"/>
                <w:sz w:val="24"/>
                <w:szCs w:val="24"/>
              </w:rPr>
              <w:t>服务站点地址 3：</w:t>
            </w:r>
          </w:p>
        </w:tc>
      </w:tr>
      <w:tr w14:paraId="470E4E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78" w:hRule="atLeast"/>
          <w:jc w:val="center"/>
        </w:trPr>
        <w:tc>
          <w:tcPr>
            <w:tcW w:w="5000" w:type="pct"/>
            <w:gridSpan w:val="5"/>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14:paraId="7B430FD3">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108" w:right="0"/>
              <w:textAlignment w:val="baseline"/>
            </w:pPr>
            <w:r>
              <w:rPr>
                <w:rFonts w:hint="eastAsia" w:ascii="宋体" w:hAnsi="宋体" w:eastAsia="宋体" w:cs="宋体"/>
                <w:b/>
                <w:bCs/>
                <w:spacing w:val="-2"/>
                <w:sz w:val="24"/>
                <w:szCs w:val="24"/>
                <w:vertAlign w:val="baseline"/>
              </w:rPr>
              <w:t> </w:t>
            </w:r>
          </w:p>
          <w:p w14:paraId="677E29BF">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106" w:right="0"/>
              <w:textAlignment w:val="baseline"/>
            </w:pPr>
            <w:r>
              <w:rPr>
                <w:rFonts w:hint="eastAsia" w:ascii="宋体" w:hAnsi="宋体" w:eastAsia="宋体" w:cs="宋体"/>
                <w:b/>
                <w:bCs/>
                <w:spacing w:val="-2"/>
                <w:sz w:val="24"/>
                <w:szCs w:val="24"/>
                <w:vertAlign w:val="baseline"/>
              </w:rPr>
              <w:t>本单位承诺：</w:t>
            </w:r>
          </w:p>
          <w:p w14:paraId="6AC5D5A3">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106" w:right="67" w:firstLine="480"/>
              <w:textAlignment w:val="baseline"/>
            </w:pPr>
            <w:r>
              <w:rPr>
                <w:rFonts w:hint="eastAsia" w:ascii="宋体" w:hAnsi="宋体" w:eastAsia="宋体" w:cs="宋体"/>
                <w:b/>
                <w:bCs/>
                <w:spacing w:val="-2"/>
                <w:sz w:val="24"/>
                <w:szCs w:val="24"/>
                <w:vertAlign w:val="baseline"/>
              </w:rPr>
              <w:t>本次提供的所有申请材料均真实有效，如提供材料虚假、不真实的，承担由此引起的一切责任和后果。</w:t>
            </w:r>
          </w:p>
          <w:p w14:paraId="69974593">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108" w:right="68" w:firstLine="482"/>
              <w:textAlignment w:val="baseline"/>
            </w:pPr>
            <w:r>
              <w:rPr>
                <w:rFonts w:hint="eastAsia" w:ascii="宋体" w:hAnsi="宋体" w:eastAsia="宋体" w:cs="宋体"/>
                <w:b/>
                <w:bCs/>
                <w:spacing w:val="-2"/>
                <w:sz w:val="24"/>
                <w:szCs w:val="24"/>
                <w:vertAlign w:val="baseline"/>
              </w:rPr>
              <w:t> </w:t>
            </w:r>
          </w:p>
          <w:p w14:paraId="3EE189F6">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108" w:right="68" w:firstLine="482"/>
              <w:textAlignment w:val="baseline"/>
            </w:pPr>
            <w:r>
              <w:rPr>
                <w:rFonts w:hint="eastAsia" w:ascii="宋体" w:hAnsi="宋体" w:eastAsia="宋体" w:cs="宋体"/>
                <w:b/>
                <w:bCs/>
                <w:spacing w:val="-2"/>
                <w:sz w:val="24"/>
                <w:szCs w:val="24"/>
                <w:vertAlign w:val="baseline"/>
              </w:rPr>
              <w:t> </w:t>
            </w:r>
          </w:p>
          <w:p w14:paraId="4BFEEC03">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90" w:lineRule="exact"/>
              <w:ind w:left="2079" w:right="0"/>
              <w:textAlignment w:val="baseline"/>
            </w:pPr>
            <w:r>
              <w:rPr>
                <w:rFonts w:hint="eastAsia" w:ascii="宋体" w:hAnsi="宋体" w:eastAsia="宋体" w:cs="宋体"/>
                <w:sz w:val="24"/>
                <w:szCs w:val="24"/>
                <w:vertAlign w:val="baseline"/>
              </w:rPr>
              <w:t>法人代表签字</w:t>
            </w:r>
            <w:r>
              <w:rPr>
                <w:rFonts w:hint="eastAsia" w:ascii="宋体" w:hAnsi="宋体" w:eastAsia="宋体" w:cs="宋体"/>
                <w:spacing w:val="-10"/>
                <w:sz w:val="24"/>
                <w:szCs w:val="24"/>
                <w:vertAlign w:val="baseline"/>
              </w:rPr>
              <w:t>：</w:t>
            </w:r>
            <w:r>
              <w:rPr>
                <w:rFonts w:hint="eastAsia" w:ascii="宋体" w:hAnsi="宋体" w:eastAsia="宋体" w:cs="宋体"/>
                <w:sz w:val="24"/>
                <w:szCs w:val="24"/>
                <w:vertAlign w:val="baseline"/>
              </w:rPr>
              <w:t xml:space="preserve"> 单位（盖章</w:t>
            </w:r>
            <w:r>
              <w:rPr>
                <w:rFonts w:hint="eastAsia" w:ascii="宋体" w:hAnsi="宋体" w:eastAsia="宋体" w:cs="宋体"/>
                <w:spacing w:val="-5"/>
                <w:sz w:val="24"/>
                <w:szCs w:val="24"/>
                <w:vertAlign w:val="baseline"/>
              </w:rPr>
              <w:t>）：</w:t>
            </w:r>
            <w:r>
              <w:rPr>
                <w:rFonts w:hint="eastAsia" w:ascii="宋体" w:hAnsi="宋体" w:eastAsia="宋体" w:cs="宋体"/>
                <w:sz w:val="24"/>
                <w:szCs w:val="24"/>
                <w:vertAlign w:val="baseline"/>
              </w:rPr>
              <w:t xml:space="preserve"> </w:t>
            </w:r>
            <w:r>
              <w:rPr>
                <w:rFonts w:hint="eastAsia" w:ascii="宋体" w:hAnsi="宋体" w:eastAsia="宋体" w:cs="宋体"/>
                <w:spacing w:val="-10"/>
                <w:sz w:val="24"/>
                <w:szCs w:val="24"/>
                <w:vertAlign w:val="baseline"/>
              </w:rPr>
              <w:t>年</w:t>
            </w:r>
            <w:r>
              <w:rPr>
                <w:rFonts w:hint="eastAsia" w:ascii="宋体" w:hAnsi="宋体" w:eastAsia="宋体" w:cs="宋体"/>
                <w:sz w:val="24"/>
                <w:szCs w:val="24"/>
                <w:vertAlign w:val="baseline"/>
              </w:rPr>
              <w:t xml:space="preserve"> </w:t>
            </w:r>
            <w:r>
              <w:rPr>
                <w:rFonts w:hint="eastAsia" w:ascii="宋体" w:hAnsi="宋体" w:eastAsia="宋体" w:cs="宋体"/>
                <w:spacing w:val="-10"/>
                <w:sz w:val="24"/>
                <w:szCs w:val="24"/>
                <w:vertAlign w:val="baseline"/>
              </w:rPr>
              <w:t>月</w:t>
            </w:r>
            <w:r>
              <w:rPr>
                <w:rFonts w:hint="eastAsia" w:ascii="宋体" w:hAnsi="宋体" w:eastAsia="宋体" w:cs="宋体"/>
                <w:sz w:val="24"/>
                <w:szCs w:val="24"/>
                <w:vertAlign w:val="baseline"/>
              </w:rPr>
              <w:t xml:space="preserve"> </w:t>
            </w:r>
            <w:r>
              <w:rPr>
                <w:rFonts w:hint="eastAsia" w:ascii="宋体" w:hAnsi="宋体" w:eastAsia="宋体" w:cs="宋体"/>
                <w:spacing w:val="-10"/>
                <w:sz w:val="24"/>
                <w:szCs w:val="24"/>
                <w:vertAlign w:val="baseline"/>
              </w:rPr>
              <w:t>日</w:t>
            </w:r>
          </w:p>
        </w:tc>
      </w:tr>
    </w:tbl>
    <w:p w14:paraId="47D7847E">
      <w:pPr>
        <w:keepNext w:val="0"/>
        <w:keepLines w:val="0"/>
        <w:pageBreakBefore w:val="0"/>
        <w:kinsoku/>
        <w:wordWrap/>
        <w:overflowPunct/>
        <w:topLinePunct w:val="0"/>
        <w:autoSpaceDE/>
        <w:autoSpaceDN/>
        <w:bidi w:val="0"/>
        <w:adjustRightInd/>
        <w:snapToGrid/>
        <w:spacing w:line="590" w:lineRule="exact"/>
        <w:textAlignment w:val="auto"/>
      </w:pPr>
    </w:p>
    <w:p w14:paraId="37E57C65">
      <w:pPr>
        <w:keepNext w:val="0"/>
        <w:keepLines w:val="0"/>
        <w:pageBreakBefore w:val="0"/>
        <w:kinsoku/>
        <w:wordWrap/>
        <w:overflowPunct/>
        <w:topLinePunct w:val="0"/>
        <w:autoSpaceDE/>
        <w:autoSpaceDN/>
        <w:bidi w:val="0"/>
        <w:adjustRightInd/>
        <w:snapToGrid/>
        <w:spacing w:line="590" w:lineRule="exact"/>
        <w:textAlignment w:val="auto"/>
      </w:pPr>
    </w:p>
    <w:p w14:paraId="69C583C5">
      <w:pPr>
        <w:keepNext w:val="0"/>
        <w:keepLines w:val="0"/>
        <w:pageBreakBefore w:val="0"/>
        <w:kinsoku/>
        <w:wordWrap/>
        <w:overflowPunct/>
        <w:topLinePunct w:val="0"/>
        <w:autoSpaceDE/>
        <w:autoSpaceDN/>
        <w:bidi w:val="0"/>
        <w:adjustRightInd/>
        <w:snapToGrid/>
        <w:spacing w:line="590" w:lineRule="exact"/>
        <w:textAlignment w:val="auto"/>
      </w:pPr>
    </w:p>
    <w:p w14:paraId="50F06261">
      <w:pPr>
        <w:keepNext w:val="0"/>
        <w:keepLines w:val="0"/>
        <w:pageBreakBefore w:val="0"/>
        <w:kinsoku/>
        <w:wordWrap/>
        <w:overflowPunct/>
        <w:topLinePunct w:val="0"/>
        <w:autoSpaceDE/>
        <w:autoSpaceDN/>
        <w:bidi w:val="0"/>
        <w:adjustRightInd/>
        <w:snapToGrid/>
        <w:spacing w:line="590" w:lineRule="exact"/>
        <w:textAlignment w:val="auto"/>
      </w:pPr>
    </w:p>
    <w:p w14:paraId="63AEF088">
      <w:pPr>
        <w:keepNext w:val="0"/>
        <w:keepLines w:val="0"/>
        <w:pageBreakBefore w:val="0"/>
        <w:kinsoku/>
        <w:wordWrap/>
        <w:overflowPunct/>
        <w:topLinePunct w:val="0"/>
        <w:autoSpaceDE/>
        <w:autoSpaceDN/>
        <w:bidi w:val="0"/>
        <w:adjustRightInd/>
        <w:snapToGrid/>
        <w:spacing w:line="590" w:lineRule="exact"/>
        <w:textAlignment w:val="auto"/>
      </w:pPr>
    </w:p>
    <w:sectPr>
      <w:headerReference r:id="rId3" w:type="default"/>
      <w:footerReference r:id="rId5" w:type="default"/>
      <w:headerReference r:id="rId4" w:type="even"/>
      <w:footerReference r:id="rId6" w:type="even"/>
      <w:pgSz w:w="11906" w:h="16838"/>
      <w:pgMar w:top="1871" w:right="1474" w:bottom="1587" w:left="1474" w:header="851" w:footer="1134" w:gutter="0"/>
      <w:cols w:space="0" w:num="1"/>
      <w:docGrid w:type="lines" w:linePitch="6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roid Sans Fallback">
    <w:altName w:val="宋体"/>
    <w:panose1 w:val="020B0502000000000001"/>
    <w:charset w:val="86"/>
    <w:family w:val="auto"/>
    <w:pitch w:val="default"/>
    <w:sig w:usb0="00000000" w:usb1="00000000"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102D1">
    <w:pPr>
      <w:pBdr>
        <w:top w:val="none" w:color="auto" w:sz="0" w:space="1"/>
        <w:left w:val="none" w:color="auto" w:sz="0" w:space="4"/>
        <w:bottom w:val="none" w:color="auto" w:sz="0" w:space="1"/>
        <w:right w:val="none" w:color="auto" w:sz="0" w:space="4"/>
      </w:pBdr>
      <w:snapToGrid w:val="0"/>
      <w:spacing w:line="100" w:lineRule="exact"/>
      <w:rPr>
        <w:sz w:val="18"/>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-15875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CABDE">
                          <w:pPr>
                            <w:pStyle w:val="4"/>
                            <w:rPr>
                              <w:rFonts w:ascii="Times New Roman" w:hAnsi="Times New Roman" w:cs="Times New Roman"/>
                              <w:sz w:val="24"/>
                            </w:rPr>
                          </w:pPr>
                          <w:r>
                            <w:rPr>
                              <w:rFonts w:hint="eastAsia"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r>
                            <w:rPr>
                              <w:rFonts w:hint="eastAsia" w:ascii="Times New Roman" w:hAnsi="Times New Roman" w:cs="Times New Roman"/>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25pt;height:144pt;width:144pt;mso-position-horizontal:outside;mso-position-horizontal-relative:margin;mso-wrap-style:none;z-index:251662336;mso-width-relative:page;mso-height-relative:page;" filled="f" stroked="f" coordsize="21600,21600" o:gfxdata="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v/UcrUAAAABwEAAA8AAAAAAAAAAQAgAAAAIgAAAGRycy9kb3ducmV2LnhtbFBLAQIUABQAAAAI&#10;AIdO4kAm1VpzKgIAAFUEAAAOAAAAAAAAAAEAIAAAACMBAABkcnMvZTJvRG9jLnhtbFBLBQYAAAAA&#10;BgAGAFkBAAC/BQAAAAA=&#10;">
              <v:fill on="f" focussize="0,0"/>
              <v:stroke on="f" weight="0.5pt"/>
              <v:imagedata o:title=""/>
              <o:lock v:ext="edit" aspectratio="f"/>
              <v:textbox inset="0mm,0mm,0mm,0mm" style="mso-fit-shape-to-text:t;">
                <w:txbxContent>
                  <w:p w14:paraId="1AFCABDE">
                    <w:pPr>
                      <w:pStyle w:val="4"/>
                      <w:rPr>
                        <w:rFonts w:ascii="Times New Roman" w:hAnsi="Times New Roman" w:cs="Times New Roman"/>
                        <w:sz w:val="24"/>
                      </w:rPr>
                    </w:pPr>
                    <w:r>
                      <w:rPr>
                        <w:rFonts w:hint="eastAsia"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r>
                      <w:rPr>
                        <w:rFonts w:hint="eastAsia" w:ascii="Times New Roman" w:hAnsi="Times New Roman" w:cs="Times New Roman"/>
                        <w:sz w:val="24"/>
                      </w:rPr>
                      <w:t xml:space="preserve"> —</w:t>
                    </w:r>
                  </w:p>
                </w:txbxContent>
              </v:textbox>
            </v:shape>
          </w:pict>
        </mc:Fallback>
      </mc:AlternateContent>
    </w:r>
  </w:p>
  <w:p w14:paraId="21446F2C">
    <w:pPr>
      <w:pBdr>
        <w:top w:val="none" w:color="auto" w:sz="0" w:space="1"/>
        <w:left w:val="none" w:color="auto" w:sz="0" w:space="4"/>
        <w:bottom w:val="none" w:color="auto" w:sz="0" w:space="1"/>
        <w:right w:val="none" w:color="auto" w:sz="0" w:space="4"/>
      </w:pBdr>
      <w:snapToGrid w:val="0"/>
      <w:spacing w:line="100" w:lineRule="exact"/>
      <w:rPr>
        <w:sz w:val="18"/>
      </w:rPr>
    </w:pPr>
  </w:p>
  <w:p w14:paraId="10F00782">
    <w:pPr>
      <w:pBdr>
        <w:top w:val="none" w:color="auto" w:sz="0" w:space="1"/>
        <w:left w:val="none" w:color="auto" w:sz="0" w:space="4"/>
        <w:bottom w:val="none" w:color="auto" w:sz="0" w:space="1"/>
        <w:right w:val="none" w:color="auto" w:sz="0" w:space="4"/>
      </w:pBdr>
      <w:snapToGrid w:val="0"/>
      <w:spacing w:line="100" w:lineRule="exact"/>
      <w:rPr>
        <w:sz w:val="18"/>
      </w:rPr>
    </w:pPr>
  </w:p>
  <w:tbl>
    <w:tblPr>
      <w:tblStyle w:val="8"/>
      <w:tblW w:w="89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Layout w:type="fixed"/>
      <w:tblCellMar>
        <w:top w:w="0" w:type="dxa"/>
        <w:left w:w="108" w:type="dxa"/>
        <w:bottom w:w="0" w:type="dxa"/>
        <w:right w:w="108" w:type="dxa"/>
      </w:tblCellMar>
    </w:tblPr>
    <w:tblGrid>
      <w:gridCol w:w="8957"/>
    </w:tblGrid>
    <w:tr w14:paraId="12638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CellMar>
          <w:top w:w="0" w:type="dxa"/>
          <w:left w:w="108" w:type="dxa"/>
          <w:bottom w:w="0" w:type="dxa"/>
          <w:right w:w="108" w:type="dxa"/>
        </w:tblCellMar>
      </w:tblPrEx>
      <w:trPr>
        <w:trHeight w:val="28" w:hRule="exact"/>
        <w:jc w:val="center"/>
      </w:trPr>
      <w:tc>
        <w:tcPr>
          <w:tcW w:w="8957" w:type="dxa"/>
          <w:tcBorders>
            <w:tl2br w:val="nil"/>
            <w:tr2bl w:val="nil"/>
          </w:tcBorders>
          <w:shd w:val="clear" w:color="auto" w:fill="000000" w:themeFill="text1"/>
        </w:tcPr>
        <w:p w14:paraId="1AEDD9F5">
          <w:pPr>
            <w:snapToGrid w:val="0"/>
            <w:rPr>
              <w:sz w:val="18"/>
            </w:rPr>
          </w:pPr>
        </w:p>
      </w:tc>
    </w:tr>
  </w:tbl>
  <w:p w14:paraId="1C90F332">
    <w:pPr>
      <w:pBdr>
        <w:top w:val="none" w:color="auto" w:sz="0" w:space="1"/>
        <w:left w:val="none" w:color="auto" w:sz="0" w:space="4"/>
        <w:bottom w:val="none" w:color="auto" w:sz="0" w:space="1"/>
        <w:right w:val="none" w:color="auto" w:sz="0" w:space="4"/>
      </w:pBdr>
      <w:snapToGrid w:val="0"/>
      <w:spacing w:line="20" w:lineRule="exact"/>
      <w:rPr>
        <w:sz w:val="18"/>
      </w:rPr>
    </w:pPr>
    <w:r>
      <w:rPr>
        <w:sz w:val="18"/>
      </w:rPr>
      <mc:AlternateContent>
        <mc:Choice Requires="wps">
          <w:drawing>
            <wp:anchor distT="0" distB="0" distL="114300" distR="114300" simplePos="0" relativeHeight="251661312" behindDoc="0" locked="0" layoutInCell="1" allowOverlap="1">
              <wp:simplePos x="0" y="0"/>
              <wp:positionH relativeFrom="column">
                <wp:posOffset>2846070</wp:posOffset>
              </wp:positionH>
              <wp:positionV relativeFrom="paragraph">
                <wp:posOffset>8255</wp:posOffset>
              </wp:positionV>
              <wp:extent cx="2739390" cy="320040"/>
              <wp:effectExtent l="0" t="0" r="0" b="0"/>
              <wp:wrapNone/>
              <wp:docPr id="5" name="文本框 5"/>
              <wp:cNvGraphicFramePr/>
              <a:graphic xmlns:a="http://schemas.openxmlformats.org/drawingml/2006/main">
                <a:graphicData uri="http://schemas.microsoft.com/office/word/2010/wordprocessingShape">
                  <wps:wsp>
                    <wps:cNvSpPr txBox="1"/>
                    <wps:spPr>
                      <a:xfrm>
                        <a:off x="1130935" y="777240"/>
                        <a:ext cx="2739390"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48496">
                          <w:pPr>
                            <w:snapToGrid w:val="0"/>
                            <w:jc w:val="center"/>
                          </w:pPr>
                          <w:r>
                            <w:rPr>
                              <w:rFonts w:hint="eastAsia" w:asciiTheme="minorEastAsia" w:hAnsiTheme="minorEastAsia" w:cstheme="minorEastAsia"/>
                              <w:sz w:val="28"/>
                              <w:szCs w:val="28"/>
                            </w:rPr>
                            <w:t>安徽省医疗保障局发布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4.1pt;margin-top:0.65pt;height:25.2pt;width:215.7pt;z-index:251661312;mso-width-relative:page;mso-height-relative:page;" filled="f" stroked="f" coordsize="21600,21600" o:gfxdata="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CF69PaAAAACAEAAA8AAAAA&#10;AAAAAQAgAAAAIgAAAGRycy9kb3ducmV2LnhtbFBLAQIUABQAAAAIAIdO4kBsulyoSwIAAH8EAAAO&#10;AAAAAAAAAAEAIAAAACkBAABkcnMvZTJvRG9jLnhtbFBLBQYAAAAABgAGAFkBAADmBQAAAAA=&#10;">
              <v:fill on="f" focussize="0,0"/>
              <v:stroke on="f" weight="0.5pt"/>
              <v:imagedata o:title=""/>
              <o:lock v:ext="edit" aspectratio="f"/>
              <v:textbox>
                <w:txbxContent>
                  <w:p w14:paraId="6DF48496">
                    <w:pPr>
                      <w:snapToGrid w:val="0"/>
                      <w:jc w:val="center"/>
                    </w:pPr>
                    <w:r>
                      <w:rPr>
                        <w:rFonts w:hint="eastAsia" w:asciiTheme="minorEastAsia" w:hAnsiTheme="minorEastAsia" w:cstheme="minorEastAsia"/>
                        <w:sz w:val="28"/>
                        <w:szCs w:val="28"/>
                      </w:rPr>
                      <w:t>安徽省医疗保障局发布</w:t>
                    </w:r>
                  </w:p>
                </w:txbxContent>
              </v:textbox>
            </v:shape>
          </w:pict>
        </mc:Fallback>
      </mc:AlternateContent>
    </w:r>
  </w:p>
  <w:p w14:paraId="2D3E9EC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C2D8D">
    <w:pPr>
      <w:pBdr>
        <w:top w:val="none" w:color="auto" w:sz="0" w:space="1"/>
        <w:left w:val="none" w:color="auto" w:sz="0" w:space="4"/>
        <w:bottom w:val="none" w:color="auto" w:sz="0" w:space="1"/>
        <w:right w:val="none" w:color="auto" w:sz="0" w:space="4"/>
      </w:pBdr>
      <w:snapToGrid w:val="0"/>
      <w:spacing w:line="100" w:lineRule="exact"/>
      <w:rPr>
        <w:sz w:val="18"/>
      </w:rPr>
    </w:pPr>
    <w:r>
      <w:rPr>
        <w:sz w:val="18"/>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-15875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2F9AC4">
                          <w:pPr>
                            <w:pStyle w:val="4"/>
                            <w:rPr>
                              <w:rFonts w:ascii="Times New Roman" w:hAnsi="Times New Roman" w:cs="Times New Roman"/>
                              <w:sz w:val="24"/>
                            </w:rPr>
                          </w:pPr>
                          <w:r>
                            <w:rPr>
                              <w:rFonts w:hint="eastAsia"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2</w:t>
                          </w:r>
                          <w:r>
                            <w:rPr>
                              <w:rFonts w:ascii="Times New Roman" w:hAnsi="Times New Roman" w:cs="Times New Roman"/>
                              <w:sz w:val="24"/>
                            </w:rPr>
                            <w:fldChar w:fldCharType="end"/>
                          </w:r>
                          <w:r>
                            <w:rPr>
                              <w:rFonts w:hint="eastAsia" w:ascii="Times New Roman" w:hAnsi="Times New Roman" w:cs="Times New Roman"/>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1.25pt;height:144pt;width:144pt;mso-position-horizontal-relative:margin;mso-wrap-style:none;z-index:251664384;mso-width-relative:page;mso-height-relative:page;" filled="f" stroked="f" coordsize="21600,21600" o:gfxdata="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r/1HK1AAAAAcBAAAPAAAAAAAAAAEAIAAAACIAAABkcnMvZG93bnJldi54bWxQSwEC&#10;FAAUAAAACACHTuJAsc8XrDECAABjBAAADgAAAAAAAAABACAAAAAjAQAAZHJzL2Uyb0RvYy54bWxQ&#10;SwUGAAAAAAYABgBZAQAAxgUAAAAA&#10;">
              <v:fill on="f" focussize="0,0"/>
              <v:stroke on="f" weight="0.5pt"/>
              <v:imagedata o:title=""/>
              <o:lock v:ext="edit" aspectratio="f"/>
              <v:textbox inset="0mm,0mm,0mm,0mm" style="mso-fit-shape-to-text:t;">
                <w:txbxContent>
                  <w:p w14:paraId="162F9AC4">
                    <w:pPr>
                      <w:pStyle w:val="4"/>
                      <w:rPr>
                        <w:rFonts w:ascii="Times New Roman" w:hAnsi="Times New Roman" w:cs="Times New Roman"/>
                        <w:sz w:val="24"/>
                      </w:rPr>
                    </w:pPr>
                    <w:r>
                      <w:rPr>
                        <w:rFonts w:hint="eastAsia"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2</w:t>
                    </w:r>
                    <w:r>
                      <w:rPr>
                        <w:rFonts w:ascii="Times New Roman" w:hAnsi="Times New Roman" w:cs="Times New Roman"/>
                        <w:sz w:val="24"/>
                      </w:rPr>
                      <w:fldChar w:fldCharType="end"/>
                    </w:r>
                    <w:r>
                      <w:rPr>
                        <w:rFonts w:hint="eastAsia" w:ascii="Times New Roman" w:hAnsi="Times New Roman" w:cs="Times New Roman"/>
                        <w:sz w:val="24"/>
                      </w:rPr>
                      <w:t xml:space="preserve"> —</w:t>
                    </w:r>
                  </w:p>
                </w:txbxContent>
              </v:textbox>
            </v:shape>
          </w:pict>
        </mc:Fallback>
      </mc:AlternateContent>
    </w:r>
  </w:p>
  <w:p w14:paraId="1E63B55A">
    <w:pPr>
      <w:pBdr>
        <w:top w:val="none" w:color="auto" w:sz="0" w:space="1"/>
        <w:left w:val="none" w:color="auto" w:sz="0" w:space="4"/>
        <w:bottom w:val="none" w:color="auto" w:sz="0" w:space="1"/>
        <w:right w:val="none" w:color="auto" w:sz="0" w:space="4"/>
      </w:pBdr>
      <w:snapToGrid w:val="0"/>
      <w:spacing w:line="100" w:lineRule="exact"/>
      <w:rPr>
        <w:rFonts w:hint="eastAsia"/>
        <w:sz w:val="18"/>
      </w:rPr>
    </w:pPr>
  </w:p>
  <w:p w14:paraId="55146079">
    <w:pPr>
      <w:pBdr>
        <w:top w:val="none" w:color="auto" w:sz="0" w:space="1"/>
        <w:left w:val="none" w:color="auto" w:sz="0" w:space="4"/>
        <w:bottom w:val="none" w:color="auto" w:sz="0" w:space="1"/>
        <w:right w:val="none" w:color="auto" w:sz="0" w:space="4"/>
      </w:pBdr>
      <w:snapToGrid w:val="0"/>
      <w:spacing w:line="100" w:lineRule="exact"/>
      <w:rPr>
        <w:rFonts w:hint="eastAsia"/>
        <w:sz w:val="18"/>
      </w:rPr>
    </w:pPr>
  </w:p>
  <w:tbl>
    <w:tblPr>
      <w:tblStyle w:val="8"/>
      <w:tblW w:w="89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Layout w:type="fixed"/>
      <w:tblCellMar>
        <w:top w:w="0" w:type="dxa"/>
        <w:left w:w="108" w:type="dxa"/>
        <w:bottom w:w="0" w:type="dxa"/>
        <w:right w:w="108" w:type="dxa"/>
      </w:tblCellMar>
    </w:tblPr>
    <w:tblGrid>
      <w:gridCol w:w="8957"/>
    </w:tblGrid>
    <w:tr w14:paraId="24008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CellMar>
          <w:top w:w="0" w:type="dxa"/>
          <w:left w:w="108" w:type="dxa"/>
          <w:bottom w:w="0" w:type="dxa"/>
          <w:right w:w="108" w:type="dxa"/>
        </w:tblCellMar>
      </w:tblPrEx>
      <w:trPr>
        <w:trHeight w:val="28" w:hRule="exact"/>
        <w:jc w:val="center"/>
      </w:trPr>
      <w:tc>
        <w:tcPr>
          <w:tcW w:w="8957" w:type="dxa"/>
          <w:tcBorders>
            <w:tl2br w:val="nil"/>
            <w:tr2bl w:val="nil"/>
          </w:tcBorders>
          <w:shd w:val="clear" w:color="auto" w:fill="000000" w:themeFill="text1"/>
        </w:tcPr>
        <w:p w14:paraId="2A14B6E5">
          <w:pPr>
            <w:snapToGrid w:val="0"/>
            <w:rPr>
              <w:sz w:val="18"/>
            </w:rPr>
          </w:pPr>
        </w:p>
      </w:tc>
    </w:tr>
  </w:tbl>
  <w:p w14:paraId="18A10444">
    <w:pPr>
      <w:pBdr>
        <w:top w:val="none" w:color="auto" w:sz="0" w:space="1"/>
        <w:left w:val="none" w:color="auto" w:sz="0" w:space="4"/>
        <w:bottom w:val="none" w:color="auto" w:sz="0" w:space="1"/>
        <w:right w:val="none" w:color="auto" w:sz="0" w:space="4"/>
      </w:pBdr>
      <w:snapToGrid w:val="0"/>
      <w:spacing w:line="20" w:lineRule="exact"/>
      <w:rPr>
        <w:sz w:val="18"/>
      </w:rPr>
    </w:pPr>
    <w:r>
      <w:rPr>
        <w:sz w:val="18"/>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-1270</wp:posOffset>
              </wp:positionV>
              <wp:extent cx="2739390" cy="320040"/>
              <wp:effectExtent l="0" t="0" r="0" b="3810"/>
              <wp:wrapNone/>
              <wp:docPr id="9" name="文本框 9"/>
              <wp:cNvGraphicFramePr/>
              <a:graphic xmlns:a="http://schemas.openxmlformats.org/drawingml/2006/main">
                <a:graphicData uri="http://schemas.microsoft.com/office/word/2010/wordprocessingShape">
                  <wps:wsp>
                    <wps:cNvSpPr txBox="1"/>
                    <wps:spPr>
                      <a:xfrm>
                        <a:off x="0" y="0"/>
                        <a:ext cx="2739390"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205C05">
                          <w:pPr>
                            <w:snapToGrid w:val="0"/>
                            <w:jc w:val="center"/>
                            <w:rPr>
                              <w:sz w:val="28"/>
                              <w:szCs w:val="28"/>
                            </w:rPr>
                          </w:pPr>
                          <w:r>
                            <w:rPr>
                              <w:rFonts w:hint="eastAsia" w:asciiTheme="minorEastAsia" w:hAnsiTheme="minorEastAsia" w:cstheme="minorEastAsia"/>
                              <w:sz w:val="28"/>
                              <w:szCs w:val="28"/>
                            </w:rPr>
                            <w:t>安徽省医疗保障局发布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15pt;margin-top:-0.1pt;height:25.2pt;width:215.7pt;z-index:251663360;mso-width-relative:page;mso-height-relative:page;" filled="f" stroked="f" coordsize="21600,21600" o:gfxdata="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l5MSDXAAAABgEAAA8AAAAAAAAAAQAgAAAAIgAA&#10;AGRycy9kb3ducmV2LnhtbFBLAQIUABQAAAAIAIdO4kClbYJwQgIAAHQEAAAOAAAAAAAAAAEAIAAA&#10;ACYBAABkcnMvZTJvRG9jLnhtbFBLBQYAAAAABgAGAFkBAADaBQAAAAA=&#10;">
              <v:fill on="f" focussize="0,0"/>
              <v:stroke on="f" weight="0.5pt"/>
              <v:imagedata o:title=""/>
              <o:lock v:ext="edit" aspectratio="f"/>
              <v:textbox>
                <w:txbxContent>
                  <w:p w14:paraId="73205C05">
                    <w:pPr>
                      <w:snapToGrid w:val="0"/>
                      <w:jc w:val="center"/>
                      <w:rPr>
                        <w:sz w:val="28"/>
                        <w:szCs w:val="28"/>
                      </w:rPr>
                    </w:pPr>
                    <w:r>
                      <w:rPr>
                        <w:rFonts w:hint="eastAsia" w:asciiTheme="minorEastAsia" w:hAnsiTheme="minorEastAsia" w:cstheme="minorEastAsia"/>
                        <w:sz w:val="28"/>
                        <w:szCs w:val="28"/>
                      </w:rPr>
                      <w:t>安徽省医疗保障局发布</w:t>
                    </w:r>
                  </w:p>
                </w:txbxContent>
              </v:textbox>
            </v:shape>
          </w:pict>
        </mc:Fallback>
      </mc:AlternateContent>
    </w:r>
  </w:p>
  <w:p w14:paraId="66D9BE5E">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629F3">
    <w:pPr>
      <w:pStyle w:val="5"/>
      <w:snapToGrid/>
      <w:spacing w:before="168" w:beforeLines="70"/>
    </w:pPr>
    <w:r>
      <mc:AlternateContent>
        <mc:Choice Requires="wps">
          <w:drawing>
            <wp:anchor distT="0" distB="0" distL="114300" distR="114300" simplePos="0" relativeHeight="251659264" behindDoc="0" locked="0" layoutInCell="1" allowOverlap="1">
              <wp:simplePos x="0" y="0"/>
              <wp:positionH relativeFrom="column">
                <wp:posOffset>194945</wp:posOffset>
              </wp:positionH>
              <wp:positionV relativeFrom="paragraph">
                <wp:posOffset>224155</wp:posOffset>
              </wp:positionV>
              <wp:extent cx="3048635" cy="320040"/>
              <wp:effectExtent l="0" t="0" r="0" b="0"/>
              <wp:wrapNone/>
              <wp:docPr id="2" name="文本框 2"/>
              <wp:cNvGraphicFramePr/>
              <a:graphic xmlns:a="http://schemas.openxmlformats.org/drawingml/2006/main">
                <a:graphicData uri="http://schemas.microsoft.com/office/word/2010/wordprocessingShape">
                  <wps:wsp>
                    <wps:cNvSpPr txBox="1"/>
                    <wps:spPr>
                      <a:xfrm>
                        <a:off x="1283335" y="746760"/>
                        <a:ext cx="3048635" cy="3200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06E9A">
                          <w:pPr>
                            <w:snapToGrid w:val="0"/>
                          </w:pPr>
                          <w:r>
                            <w:rPr>
                              <w:rFonts w:hint="eastAsia" w:asciiTheme="minorEastAsia" w:hAnsiTheme="minorEastAsia" w:cstheme="minorEastAsia"/>
                              <w:sz w:val="32"/>
                              <w:szCs w:val="32"/>
                            </w:rPr>
                            <w:t>安徽省医疗保障局规范性文件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35pt;margin-top:17.65pt;height:25.2pt;width:240.05pt;z-index:251659264;mso-width-relative:page;mso-height-relative:page;" filled="f" stroked="f" coordsize="21600,21600" o:gfxdata="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O9rAnaAAAACAEAAA8AAAAAAAAAAQAg&#10;AAAAIgAAAGRycy9kb3ducmV2LnhtbFBLAQIUABQAAAAIAIdO4kAJjB+wRQIAAHEEAAAOAAAAAAAA&#10;AAEAIAAAACkBAABkcnMvZTJvRG9jLnhtbFBLBQYAAAAABgAGAFkBAADgBQAAAAA=&#10;">
              <v:fill on="f" focussize="0,0"/>
              <v:stroke on="f" weight="0.5pt"/>
              <v:imagedata o:title=""/>
              <o:lock v:ext="edit" aspectratio="f"/>
              <v:textbox>
                <w:txbxContent>
                  <w:p w14:paraId="39006E9A">
                    <w:pPr>
                      <w:snapToGrid w:val="0"/>
                    </w:pPr>
                    <w:r>
                      <w:rPr>
                        <w:rFonts w:hint="eastAsia" w:asciiTheme="minorEastAsia" w:hAnsiTheme="minorEastAsia" w:cstheme="minorEastAsia"/>
                        <w:sz w:val="32"/>
                        <w:szCs w:val="32"/>
                      </w:rPr>
                      <w:t>安徽省医疗保障局规范性文件</w:t>
                    </w:r>
                  </w:p>
                </w:txbxContent>
              </v:textbox>
            </v:shape>
          </w:pict>
        </mc:Fallback>
      </mc:AlternateContent>
    </w:r>
  </w:p>
  <w:p w14:paraId="638A16A1">
    <w:pPr>
      <w:pStyle w:val="5"/>
    </w:pPr>
    <w:r>
      <w:rPr>
        <w:rFonts w:hint="eastAsia"/>
      </w:rPr>
      <w:drawing>
        <wp:inline distT="0" distB="0" distL="114300" distR="114300">
          <wp:extent cx="262890" cy="275590"/>
          <wp:effectExtent l="0" t="0" r="3810" b="10160"/>
          <wp:docPr id="1" name="图片 1" descr="454cddb6cf4d3c81a29bba35775f7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4cddb6cf4d3c81a29bba35775f7cb"/>
                  <pic:cNvPicPr>
                    <a:picLocks noChangeAspect="1"/>
                  </pic:cNvPicPr>
                </pic:nvPicPr>
                <pic:blipFill>
                  <a:blip r:embed="rId1"/>
                  <a:srcRect l="9101" t="7972" r="11852" b="9101"/>
                  <a:stretch>
                    <a:fillRect/>
                  </a:stretch>
                </pic:blipFill>
                <pic:spPr>
                  <a:xfrm>
                    <a:off x="0" y="0"/>
                    <a:ext cx="262890" cy="275590"/>
                  </a:xfrm>
                  <a:prstGeom prst="rect">
                    <a:avLst/>
                  </a:prstGeom>
                </pic:spPr>
              </pic:pic>
            </a:graphicData>
          </a:graphic>
        </wp:inline>
      </w:drawing>
    </w:r>
  </w:p>
  <w:p w14:paraId="1DEEEB8B">
    <w:pPr>
      <w:pStyle w:val="5"/>
      <w:spacing w:line="100" w:lineRule="exact"/>
    </w:pPr>
  </w:p>
  <w:tbl>
    <w:tblPr>
      <w:tblStyle w:val="8"/>
      <w:tblW w:w="89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Layout w:type="fixed"/>
      <w:tblCellMar>
        <w:top w:w="0" w:type="dxa"/>
        <w:left w:w="108" w:type="dxa"/>
        <w:bottom w:w="0" w:type="dxa"/>
        <w:right w:w="108" w:type="dxa"/>
      </w:tblCellMar>
    </w:tblPr>
    <w:tblGrid>
      <w:gridCol w:w="8957"/>
    </w:tblGrid>
    <w:tr w14:paraId="3A423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 w:hRule="exact"/>
        <w:jc w:val="center"/>
      </w:trPr>
      <w:tc>
        <w:tcPr>
          <w:tcW w:w="8957" w:type="dxa"/>
          <w:tcBorders>
            <w:tl2br w:val="nil"/>
            <w:tr2bl w:val="nil"/>
          </w:tcBorders>
          <w:shd w:val="clear" w:color="auto" w:fill="000000" w:themeFill="text1"/>
        </w:tcPr>
        <w:p w14:paraId="0030D1B9">
          <w:pPr>
            <w:pStyle w:val="5"/>
            <w:pBdr>
              <w:top w:val="none" w:color="auto" w:sz="0" w:space="0"/>
              <w:left w:val="none" w:color="auto" w:sz="0" w:space="0"/>
              <w:bottom w:val="none" w:color="auto" w:sz="0" w:space="0"/>
              <w:right w:val="none" w:color="auto" w:sz="0" w:space="0"/>
            </w:pBdr>
          </w:pPr>
        </w:p>
      </w:tc>
    </w:tr>
  </w:tbl>
  <w:p w14:paraId="4357E6C4">
    <w:pPr>
      <w:pStyle w:val="5"/>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F8E4D">
    <w:pPr>
      <w:pBdr>
        <w:top w:val="none" w:color="auto" w:sz="0" w:space="1"/>
        <w:left w:val="none" w:color="auto" w:sz="0" w:space="4"/>
        <w:bottom w:val="none" w:color="auto" w:sz="0" w:space="1"/>
        <w:right w:val="none" w:color="auto" w:sz="0" w:space="4"/>
      </w:pBdr>
      <w:spacing w:before="168" w:beforeLines="70"/>
      <w:rPr>
        <w:sz w:val="18"/>
      </w:rPr>
    </w:pPr>
    <w:r>
      <w:rPr>
        <w:sz w:val="18"/>
      </w:rPr>
      <mc:AlternateContent>
        <mc:Choice Requires="wps">
          <w:drawing>
            <wp:anchor distT="0" distB="0" distL="114300" distR="114300" simplePos="0" relativeHeight="251660288" behindDoc="0" locked="0" layoutInCell="1" allowOverlap="1">
              <wp:simplePos x="0" y="0"/>
              <wp:positionH relativeFrom="column">
                <wp:posOffset>194945</wp:posOffset>
              </wp:positionH>
              <wp:positionV relativeFrom="paragraph">
                <wp:posOffset>224155</wp:posOffset>
              </wp:positionV>
              <wp:extent cx="3000375" cy="320040"/>
              <wp:effectExtent l="0" t="0" r="0" b="0"/>
              <wp:wrapNone/>
              <wp:docPr id="3" name="文本框 3"/>
              <wp:cNvGraphicFramePr/>
              <a:graphic xmlns:a="http://schemas.openxmlformats.org/drawingml/2006/main">
                <a:graphicData uri="http://schemas.microsoft.com/office/word/2010/wordprocessingShape">
                  <wps:wsp>
                    <wps:cNvSpPr txBox="1"/>
                    <wps:spPr>
                      <a:xfrm>
                        <a:off x="1283335" y="746760"/>
                        <a:ext cx="3000375"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EAD26E">
                          <w:pPr>
                            <w:snapToGrid w:val="0"/>
                          </w:pPr>
                          <w:r>
                            <w:rPr>
                              <w:rFonts w:hint="eastAsia" w:asciiTheme="minorEastAsia" w:hAnsiTheme="minorEastAsia" w:cstheme="minorEastAsia"/>
                              <w:sz w:val="32"/>
                              <w:szCs w:val="32"/>
                            </w:rPr>
                            <w:t>安徽省医疗保障局规范性文件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35pt;margin-top:17.65pt;height:25.2pt;width:236.25pt;z-index:251660288;mso-width-relative:page;mso-height-relative:page;" filled="f" stroked="f" coordsize="21600,21600" o:gfxdata="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aIPvd9oAAAAIAQAADwAA&#10;AAAAAAABACAAAAAiAAAAZHJzL2Rvd25yZXYueG1sUEsBAhQAFAAAAAgAh07iQJ7phYxNAgAAfwQA&#10;AA4AAAAAAAAAAQAgAAAAKQEAAGRycy9lMm9Eb2MueG1sUEsFBgAAAAAGAAYAWQEAAOgFAAAAAA==&#10;">
              <v:fill on="f" focussize="0,0"/>
              <v:stroke on="f" weight="0.5pt"/>
              <v:imagedata o:title=""/>
              <o:lock v:ext="edit" aspectratio="f"/>
              <v:textbox>
                <w:txbxContent>
                  <w:p w14:paraId="3DEAD26E">
                    <w:pPr>
                      <w:snapToGrid w:val="0"/>
                    </w:pPr>
                    <w:r>
                      <w:rPr>
                        <w:rFonts w:hint="eastAsia" w:asciiTheme="minorEastAsia" w:hAnsiTheme="minorEastAsia" w:cstheme="minorEastAsia"/>
                        <w:sz w:val="32"/>
                        <w:szCs w:val="32"/>
                      </w:rPr>
                      <w:t>安徽省医疗保障局规范性文件</w:t>
                    </w:r>
                  </w:p>
                </w:txbxContent>
              </v:textbox>
            </v:shape>
          </w:pict>
        </mc:Fallback>
      </mc:AlternateContent>
    </w:r>
  </w:p>
  <w:p w14:paraId="29064519">
    <w:pPr>
      <w:pBdr>
        <w:top w:val="none" w:color="auto" w:sz="0" w:space="1"/>
        <w:left w:val="none" w:color="auto" w:sz="0" w:space="4"/>
        <w:bottom w:val="none" w:color="auto" w:sz="0" w:space="1"/>
        <w:right w:val="none" w:color="auto" w:sz="0" w:space="4"/>
      </w:pBdr>
      <w:snapToGrid w:val="0"/>
      <w:rPr>
        <w:sz w:val="18"/>
      </w:rPr>
    </w:pPr>
    <w:r>
      <w:rPr>
        <w:rFonts w:hint="eastAsia"/>
        <w:sz w:val="18"/>
      </w:rPr>
      <w:drawing>
        <wp:inline distT="0" distB="0" distL="114300" distR="114300">
          <wp:extent cx="262890" cy="275590"/>
          <wp:effectExtent l="0" t="0" r="3810" b="10160"/>
          <wp:docPr id="4" name="图片 4" descr="454cddb6cf4d3c81a29bba35775f7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54cddb6cf4d3c81a29bba35775f7cb"/>
                  <pic:cNvPicPr>
                    <a:picLocks noChangeAspect="1"/>
                  </pic:cNvPicPr>
                </pic:nvPicPr>
                <pic:blipFill>
                  <a:blip r:embed="rId1"/>
                  <a:srcRect l="9101" t="7972" r="11852" b="9101"/>
                  <a:stretch>
                    <a:fillRect/>
                  </a:stretch>
                </pic:blipFill>
                <pic:spPr>
                  <a:xfrm>
                    <a:off x="0" y="0"/>
                    <a:ext cx="262890" cy="275590"/>
                  </a:xfrm>
                  <a:prstGeom prst="rect">
                    <a:avLst/>
                  </a:prstGeom>
                </pic:spPr>
              </pic:pic>
            </a:graphicData>
          </a:graphic>
        </wp:inline>
      </w:drawing>
    </w:r>
  </w:p>
  <w:p w14:paraId="1940DB2C">
    <w:pPr>
      <w:pBdr>
        <w:top w:val="none" w:color="auto" w:sz="0" w:space="1"/>
        <w:left w:val="none" w:color="auto" w:sz="0" w:space="4"/>
        <w:bottom w:val="none" w:color="auto" w:sz="0" w:space="1"/>
        <w:right w:val="none" w:color="auto" w:sz="0" w:space="4"/>
      </w:pBdr>
      <w:snapToGrid w:val="0"/>
      <w:spacing w:line="100" w:lineRule="exact"/>
      <w:rPr>
        <w:sz w:val="18"/>
      </w:rPr>
    </w:pPr>
  </w:p>
  <w:tbl>
    <w:tblPr>
      <w:tblStyle w:val="8"/>
      <w:tblW w:w="89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Layout w:type="fixed"/>
      <w:tblCellMar>
        <w:top w:w="0" w:type="dxa"/>
        <w:left w:w="108" w:type="dxa"/>
        <w:bottom w:w="0" w:type="dxa"/>
        <w:right w:w="108" w:type="dxa"/>
      </w:tblCellMar>
    </w:tblPr>
    <w:tblGrid>
      <w:gridCol w:w="8957"/>
    </w:tblGrid>
    <w:tr w14:paraId="37C82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 w:hRule="exact"/>
        <w:jc w:val="center"/>
      </w:trPr>
      <w:tc>
        <w:tcPr>
          <w:tcW w:w="8957" w:type="dxa"/>
          <w:tcBorders>
            <w:tl2br w:val="nil"/>
            <w:tr2bl w:val="nil"/>
          </w:tcBorders>
          <w:shd w:val="clear" w:color="auto" w:fill="000000" w:themeFill="text1"/>
        </w:tcPr>
        <w:p w14:paraId="6BFC8F8C">
          <w:pPr>
            <w:snapToGrid w:val="0"/>
            <w:rPr>
              <w:sz w:val="18"/>
            </w:rPr>
          </w:pPr>
        </w:p>
      </w:tc>
    </w:tr>
  </w:tbl>
  <w:p w14:paraId="3A9678E7">
    <w:pPr>
      <w:pBdr>
        <w:top w:val="none" w:color="auto" w:sz="0" w:space="1"/>
        <w:left w:val="none" w:color="auto" w:sz="0" w:space="4"/>
        <w:bottom w:val="none" w:color="auto" w:sz="0" w:space="1"/>
        <w:right w:val="none" w:color="auto" w:sz="0" w:space="4"/>
      </w:pBdr>
      <w:snapToGrid w:val="0"/>
      <w:spacing w:line="20" w:lineRule="exact"/>
      <w:rPr>
        <w:sz w:val="18"/>
      </w:rPr>
    </w:pPr>
  </w:p>
  <w:p w14:paraId="18B9B80D">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evenAndOddHeaders w:val="1"/>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3YzVlOTY2ZWQ0Y2MwYmYyMDljZjU3MGU0M2YwYmEifQ=="/>
  </w:docVars>
  <w:rsids>
    <w:rsidRoot w:val="055941A4"/>
    <w:rsid w:val="004C12BB"/>
    <w:rsid w:val="00552498"/>
    <w:rsid w:val="005C58D0"/>
    <w:rsid w:val="055941A4"/>
    <w:rsid w:val="1A8B6E80"/>
    <w:rsid w:val="1DDC6B86"/>
    <w:rsid w:val="20811FE3"/>
    <w:rsid w:val="25F671F9"/>
    <w:rsid w:val="41985FA2"/>
    <w:rsid w:val="4B9004B5"/>
    <w:rsid w:val="5BD542F7"/>
    <w:rsid w:val="6B0E0BA4"/>
    <w:rsid w:val="73CD1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Char"/>
    <w:basedOn w:val="9"/>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省医保局</Company>
  <Pages>26</Pages>
  <Words>10590</Words>
  <Characters>10637</Characters>
  <Lines>1</Lines>
  <Paragraphs>1</Paragraphs>
  <TotalTime>121</TotalTime>
  <ScaleCrop>false</ScaleCrop>
  <LinksUpToDate>false</LinksUpToDate>
  <CharactersWithSpaces>10808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2022-11-22T01:59:00Z</dcterms:created>
  <dc:creator>ntko</dc:creator>
  <cp:lastModifiedBy>生如夏花</cp:lastModifiedBy>
  <dcterms:modified xsi:type="dcterms:W3CDTF">2025-08-04T09:20:03Z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eyJoZGlkIjoiMzEwNTM5NzYwMDRjMzkwZTVkZjY2ODkwMGIxNGU0OTUiLCJ1c2VySWQiOiIyNDMyMTYyMzUifQ==</vt:lpwstr>
  </property>
  <property fmtid="{D5CDD505-2E9C-101B-9397-08002B2CF9AE}" pid="4" name="ICV">
    <vt:lpwstr>BEF4E90054524B90B862509D7B753C15_13</vt:lpwstr>
  </property>
</Properties>
</file>