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A9966"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</w:rPr>
      </w:pPr>
      <w:bookmarkStart w:id="0" w:name="strContent"/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highlight w:val="none"/>
        </w:rPr>
        <w:t>附件1</w:t>
      </w:r>
    </w:p>
    <w:p w14:paraId="6D542C08">
      <w:pPr>
        <w:spacing w:line="460" w:lineRule="exact"/>
        <w:jc w:val="both"/>
        <w:rPr>
          <w:rFonts w:ascii="黑体" w:hAnsi="宋体" w:eastAsia="黑体" w:cs="Times New Roman"/>
          <w:color w:val="auto"/>
          <w:sz w:val="44"/>
          <w:szCs w:val="44"/>
          <w:highlight w:val="none"/>
        </w:rPr>
      </w:pPr>
    </w:p>
    <w:p w14:paraId="2B7F8DCB">
      <w:pPr>
        <w:spacing w:line="460" w:lineRule="exact"/>
        <w:jc w:val="center"/>
        <w:rPr>
          <w:rFonts w:ascii="黑体" w:hAnsi="宋体" w:eastAsia="黑体" w:cs="Times New Roman"/>
          <w:color w:val="auto"/>
          <w:sz w:val="44"/>
          <w:szCs w:val="44"/>
          <w:highlight w:val="none"/>
        </w:rPr>
      </w:pPr>
    </w:p>
    <w:p w14:paraId="4A28292A">
      <w:pPr>
        <w:spacing w:line="460" w:lineRule="exact"/>
        <w:jc w:val="center"/>
        <w:rPr>
          <w:rFonts w:ascii="黑体" w:hAnsi="宋体" w:eastAsia="黑体" w:cs="Times New Roman"/>
          <w:color w:val="auto"/>
          <w:sz w:val="44"/>
          <w:szCs w:val="44"/>
          <w:highlight w:val="none"/>
        </w:rPr>
      </w:pPr>
    </w:p>
    <w:p w14:paraId="06304EC2">
      <w:pPr>
        <w:spacing w:line="460" w:lineRule="exact"/>
        <w:jc w:val="center"/>
        <w:rPr>
          <w:rFonts w:ascii="黑体" w:hAnsi="宋体" w:eastAsia="黑体" w:cs="Times New Roman"/>
          <w:color w:val="auto"/>
          <w:sz w:val="44"/>
          <w:szCs w:val="44"/>
          <w:highlight w:val="none"/>
        </w:rPr>
      </w:pPr>
    </w:p>
    <w:p w14:paraId="0FB44376">
      <w:pPr>
        <w:spacing w:line="460" w:lineRule="exact"/>
        <w:jc w:val="center"/>
        <w:rPr>
          <w:rFonts w:ascii="黑体" w:hAnsi="宋体" w:eastAsia="黑体" w:cs="Times New Roman"/>
          <w:color w:val="auto"/>
          <w:sz w:val="44"/>
          <w:szCs w:val="44"/>
          <w:highlight w:val="none"/>
        </w:rPr>
      </w:pPr>
    </w:p>
    <w:p w14:paraId="18FF6AFF">
      <w:pPr>
        <w:jc w:val="center"/>
        <w:rPr>
          <w:rFonts w:ascii="黑体" w:hAnsi="黑体" w:eastAsia="黑体" w:cs="Times New Roman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Times New Roman"/>
          <w:color w:val="auto"/>
          <w:sz w:val="44"/>
          <w:szCs w:val="44"/>
          <w:highlight w:val="none"/>
        </w:rPr>
        <w:t xml:space="preserve">职业健康检查机构备案表 </w:t>
      </w:r>
    </w:p>
    <w:p w14:paraId="140CC753">
      <w:pPr>
        <w:spacing w:line="460" w:lineRule="exact"/>
        <w:ind w:left="0" w:leftChars="0" w:firstLine="0" w:firstLineChars="0"/>
        <w:jc w:val="center"/>
        <w:rPr>
          <w:rFonts w:ascii="黑体" w:hAnsi="宋体" w:eastAsia="黑体" w:cs="Times New Roman"/>
          <w:color w:val="auto"/>
          <w:sz w:val="28"/>
          <w:szCs w:val="2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（2025年版）</w:t>
      </w:r>
    </w:p>
    <w:p w14:paraId="6E23E6B5">
      <w:pPr>
        <w:spacing w:line="460" w:lineRule="exact"/>
        <w:ind w:firstLine="567"/>
        <w:rPr>
          <w:rFonts w:ascii="宋体" w:hAnsi="宋体" w:eastAsia="宋体" w:cs="Times New Roman"/>
          <w:color w:val="auto"/>
          <w:sz w:val="28"/>
          <w:szCs w:val="22"/>
          <w:highlight w:val="none"/>
        </w:rPr>
      </w:pPr>
    </w:p>
    <w:p w14:paraId="7ADDEE0E">
      <w:pPr>
        <w:spacing w:line="460" w:lineRule="exact"/>
        <w:ind w:firstLine="567"/>
        <w:rPr>
          <w:rFonts w:ascii="宋体" w:hAnsi="宋体" w:eastAsia="宋体" w:cs="Times New Roman"/>
          <w:color w:val="auto"/>
          <w:sz w:val="24"/>
          <w:szCs w:val="20"/>
          <w:highlight w:val="none"/>
        </w:rPr>
      </w:pPr>
    </w:p>
    <w:p w14:paraId="244B24B8">
      <w:pPr>
        <w:spacing w:line="460" w:lineRule="exact"/>
        <w:ind w:firstLine="567"/>
        <w:rPr>
          <w:rFonts w:ascii="宋体" w:hAnsi="宋体" w:eastAsia="宋体" w:cs="Times New Roman"/>
          <w:color w:val="auto"/>
          <w:sz w:val="24"/>
          <w:szCs w:val="20"/>
          <w:highlight w:val="none"/>
        </w:rPr>
      </w:pPr>
    </w:p>
    <w:p w14:paraId="603637F2">
      <w:pPr>
        <w:spacing w:line="460" w:lineRule="exact"/>
        <w:ind w:firstLine="567"/>
        <w:rPr>
          <w:rFonts w:ascii="宋体" w:hAnsi="宋体" w:eastAsia="宋体" w:cs="Times New Roman"/>
          <w:color w:val="auto"/>
          <w:sz w:val="24"/>
          <w:szCs w:val="20"/>
          <w:highlight w:val="none"/>
        </w:rPr>
      </w:pPr>
    </w:p>
    <w:p w14:paraId="673C818D">
      <w:pPr>
        <w:spacing w:line="460" w:lineRule="exact"/>
        <w:rPr>
          <w:rFonts w:ascii="宋体" w:hAnsi="宋体" w:eastAsia="宋体" w:cs="Times New Roman"/>
          <w:color w:val="auto"/>
          <w:sz w:val="28"/>
          <w:szCs w:val="22"/>
          <w:highlight w:val="none"/>
        </w:rPr>
      </w:pPr>
    </w:p>
    <w:p w14:paraId="2C5C1D20">
      <w:pPr>
        <w:spacing w:line="460" w:lineRule="exact"/>
        <w:ind w:firstLine="567"/>
        <w:rPr>
          <w:rFonts w:ascii="宋体" w:hAnsi="宋体" w:eastAsia="宋体" w:cs="Times New Roman"/>
          <w:color w:val="auto"/>
          <w:sz w:val="28"/>
          <w:szCs w:val="22"/>
          <w:highlight w:val="none"/>
        </w:rPr>
      </w:pPr>
    </w:p>
    <w:p w14:paraId="041BF43B">
      <w:pPr>
        <w:spacing w:line="460" w:lineRule="exact"/>
        <w:ind w:firstLine="960" w:firstLineChars="300"/>
        <w:rPr>
          <w:rFonts w:ascii="黑体" w:hAnsi="黑体" w:eastAsia="黑体" w:cs="Times New Roman"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</w:rPr>
        <w:t>备案单位名称（公章）：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              </w:t>
      </w:r>
    </w:p>
    <w:p w14:paraId="55DCE843">
      <w:pPr>
        <w:spacing w:line="460" w:lineRule="exact"/>
        <w:rPr>
          <w:rFonts w:ascii="黑体" w:hAnsi="黑体" w:eastAsia="黑体" w:cs="Times New Roman"/>
          <w:color w:val="auto"/>
          <w:sz w:val="32"/>
          <w:szCs w:val="36"/>
          <w:highlight w:val="none"/>
          <w:u w:val="single"/>
        </w:rPr>
      </w:pPr>
    </w:p>
    <w:p w14:paraId="60101E01">
      <w:pPr>
        <w:spacing w:line="460" w:lineRule="exact"/>
        <w:ind w:firstLine="960" w:firstLineChars="300"/>
        <w:jc w:val="left"/>
        <w:rPr>
          <w:rFonts w:ascii="宋体" w:hAnsi="宋体" w:eastAsia="宋体" w:cs="Times New Roman"/>
          <w:color w:val="auto"/>
          <w:sz w:val="28"/>
          <w:szCs w:val="32"/>
          <w:highlight w:val="none"/>
          <w:u w:val="single"/>
        </w:rPr>
      </w:pP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</w:rPr>
        <w:t>填表日期：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</w:t>
      </w:r>
      <w:r>
        <w:rPr>
          <w:rFonts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</w:rPr>
        <w:t>年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</w:t>
      </w:r>
      <w:r>
        <w:rPr>
          <w:rFonts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 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</w:rPr>
        <w:t>月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</w:t>
      </w:r>
      <w:r>
        <w:rPr>
          <w:rFonts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</w:rPr>
        <w:t xml:space="preserve">日      </w:t>
      </w:r>
      <w:r>
        <w:rPr>
          <w:rFonts w:hint="eastAsia" w:ascii="宋体" w:hAnsi="宋体" w:eastAsia="宋体" w:cs="Times New Roman"/>
          <w:color w:val="auto"/>
          <w:sz w:val="32"/>
          <w:szCs w:val="36"/>
          <w:highlight w:val="none"/>
        </w:rPr>
        <w:t xml:space="preserve">  </w:t>
      </w:r>
      <w:r>
        <w:rPr>
          <w:rFonts w:hint="eastAsia" w:ascii="宋体" w:hAnsi="宋体" w:eastAsia="宋体" w:cs="Times New Roman"/>
          <w:color w:val="auto"/>
          <w:sz w:val="28"/>
          <w:szCs w:val="32"/>
          <w:highlight w:val="none"/>
        </w:rPr>
        <w:t xml:space="preserve">                     </w:t>
      </w:r>
    </w:p>
    <w:p w14:paraId="03E4D0F1">
      <w:pPr>
        <w:spacing w:line="460" w:lineRule="exact"/>
        <w:ind w:firstLine="567"/>
        <w:rPr>
          <w:rFonts w:ascii="宋体" w:hAnsi="宋体" w:eastAsia="宋体" w:cs="Times New Roman"/>
          <w:color w:val="auto"/>
          <w:sz w:val="28"/>
          <w:szCs w:val="32"/>
          <w:highlight w:val="none"/>
        </w:rPr>
      </w:pPr>
    </w:p>
    <w:p w14:paraId="0B2C0A9A">
      <w:pPr>
        <w:spacing w:line="460" w:lineRule="exact"/>
        <w:rPr>
          <w:rFonts w:ascii="宋体" w:hAnsi="宋体" w:eastAsia="宋体" w:cs="Times New Roman"/>
          <w:color w:val="auto"/>
          <w:sz w:val="24"/>
          <w:szCs w:val="20"/>
          <w:highlight w:val="none"/>
        </w:rPr>
      </w:pPr>
    </w:p>
    <w:p w14:paraId="776796BE">
      <w:pPr>
        <w:spacing w:line="460" w:lineRule="exact"/>
        <w:rPr>
          <w:rFonts w:ascii="宋体" w:hAnsi="宋体" w:eastAsia="宋体" w:cs="Times New Roman"/>
          <w:color w:val="auto"/>
          <w:sz w:val="28"/>
          <w:szCs w:val="20"/>
          <w:highlight w:val="none"/>
        </w:rPr>
      </w:pPr>
    </w:p>
    <w:p w14:paraId="074CA6B6">
      <w:pPr>
        <w:spacing w:line="460" w:lineRule="exact"/>
        <w:rPr>
          <w:rFonts w:ascii="宋体" w:hAnsi="宋体" w:eastAsia="宋体" w:cs="Times New Roman"/>
          <w:color w:val="auto"/>
          <w:sz w:val="28"/>
          <w:szCs w:val="20"/>
          <w:highlight w:val="none"/>
        </w:rPr>
      </w:pPr>
    </w:p>
    <w:p w14:paraId="333C6213">
      <w:pPr>
        <w:spacing w:line="460" w:lineRule="exact"/>
        <w:rPr>
          <w:rFonts w:ascii="宋体" w:hAnsi="宋体" w:eastAsia="宋体" w:cs="Times New Roman"/>
          <w:color w:val="auto"/>
          <w:sz w:val="28"/>
          <w:szCs w:val="20"/>
          <w:highlight w:val="none"/>
        </w:rPr>
      </w:pPr>
    </w:p>
    <w:p w14:paraId="37036479">
      <w:pPr>
        <w:spacing w:line="460" w:lineRule="exact"/>
        <w:rPr>
          <w:rFonts w:ascii="宋体" w:hAnsi="宋体" w:eastAsia="宋体" w:cs="Times New Roman"/>
          <w:color w:val="auto"/>
          <w:sz w:val="28"/>
          <w:szCs w:val="20"/>
          <w:highlight w:val="none"/>
        </w:rPr>
      </w:pPr>
    </w:p>
    <w:p w14:paraId="519F4171">
      <w:pPr>
        <w:spacing w:line="460" w:lineRule="exact"/>
        <w:rPr>
          <w:rFonts w:ascii="宋体" w:hAnsi="宋体" w:eastAsia="宋体" w:cs="Times New Roman"/>
          <w:color w:val="auto"/>
          <w:sz w:val="28"/>
          <w:szCs w:val="20"/>
          <w:highlight w:val="none"/>
        </w:rPr>
      </w:pPr>
    </w:p>
    <w:p w14:paraId="52624475">
      <w:pPr>
        <w:spacing w:line="460" w:lineRule="exact"/>
        <w:rPr>
          <w:rFonts w:ascii="宋体" w:hAnsi="宋体" w:eastAsia="宋体" w:cs="Times New Roman"/>
          <w:color w:val="auto"/>
          <w:sz w:val="28"/>
          <w:szCs w:val="20"/>
          <w:highlight w:val="none"/>
        </w:rPr>
      </w:pPr>
    </w:p>
    <w:p w14:paraId="483E4831">
      <w:pPr>
        <w:spacing w:line="460" w:lineRule="exact"/>
        <w:rPr>
          <w:rFonts w:ascii="宋体" w:hAnsi="宋体" w:eastAsia="宋体" w:cs="Times New Roman"/>
          <w:color w:val="auto"/>
          <w:sz w:val="28"/>
          <w:szCs w:val="20"/>
          <w:highlight w:val="none"/>
        </w:rPr>
      </w:pPr>
    </w:p>
    <w:p w14:paraId="0C4675B4">
      <w:pPr>
        <w:spacing w:line="460" w:lineRule="exact"/>
        <w:jc w:val="center"/>
        <w:rPr>
          <w:rFonts w:hint="eastAsia" w:ascii="黑体" w:hAnsi="宋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</w:rPr>
        <w:t>安徽省卫生健康委员会制</w:t>
      </w:r>
    </w:p>
    <w:p w14:paraId="6240F17D">
      <w:pPr>
        <w:spacing w:line="460" w:lineRule="exact"/>
        <w:jc w:val="center"/>
        <w:rPr>
          <w:rFonts w:hint="eastAsia" w:ascii="黑体" w:hAnsi="宋体" w:eastAsia="黑体" w:cs="Times New Roman"/>
          <w:color w:val="auto"/>
          <w:sz w:val="32"/>
          <w:szCs w:val="32"/>
          <w:highlight w:val="none"/>
        </w:rPr>
      </w:pPr>
    </w:p>
    <w:p w14:paraId="6F60A2FC">
      <w:pPr>
        <w:spacing w:line="580" w:lineRule="exact"/>
        <w:jc w:val="center"/>
        <w:rPr>
          <w:rFonts w:ascii="黑体" w:hAnsi="宋体" w:eastAsia="黑体" w:cs="Times New Roman"/>
          <w:color w:val="auto"/>
          <w:spacing w:val="24"/>
          <w:sz w:val="36"/>
          <w:szCs w:val="36"/>
          <w:highlight w:val="none"/>
        </w:rPr>
      </w:pPr>
      <w:r>
        <w:rPr>
          <w:rFonts w:hint="eastAsia" w:ascii="黑体" w:hAnsi="宋体" w:eastAsia="黑体" w:cs="宋体"/>
          <w:color w:val="auto"/>
          <w:spacing w:val="24"/>
          <w:sz w:val="36"/>
          <w:szCs w:val="36"/>
          <w:highlight w:val="none"/>
        </w:rPr>
        <w:t>填</w:t>
      </w:r>
      <w:r>
        <w:rPr>
          <w:rFonts w:hint="eastAsia" w:ascii="黑体" w:hAnsi="Calibri" w:eastAsia="黑体" w:cs="Times New Roman"/>
          <w:color w:val="auto"/>
          <w:spacing w:val="24"/>
          <w:sz w:val="36"/>
          <w:szCs w:val="36"/>
          <w:highlight w:val="none"/>
        </w:rPr>
        <w:t xml:space="preserve"> </w:t>
      </w:r>
      <w:r>
        <w:rPr>
          <w:rFonts w:hint="eastAsia" w:ascii="黑体" w:hAnsi="宋体" w:eastAsia="黑体" w:cs="宋体"/>
          <w:color w:val="auto"/>
          <w:spacing w:val="24"/>
          <w:sz w:val="36"/>
          <w:szCs w:val="36"/>
          <w:highlight w:val="none"/>
        </w:rPr>
        <w:t>写</w:t>
      </w:r>
      <w:r>
        <w:rPr>
          <w:rFonts w:hint="eastAsia" w:ascii="黑体" w:hAnsi="Calibri" w:eastAsia="黑体" w:cs="Times New Roman"/>
          <w:color w:val="auto"/>
          <w:spacing w:val="24"/>
          <w:sz w:val="36"/>
          <w:szCs w:val="36"/>
          <w:highlight w:val="none"/>
        </w:rPr>
        <w:t xml:space="preserve"> </w:t>
      </w:r>
      <w:r>
        <w:rPr>
          <w:rFonts w:hint="eastAsia" w:ascii="黑体" w:hAnsi="宋体" w:eastAsia="黑体" w:cs="宋体"/>
          <w:color w:val="auto"/>
          <w:spacing w:val="24"/>
          <w:sz w:val="36"/>
          <w:szCs w:val="36"/>
          <w:highlight w:val="none"/>
        </w:rPr>
        <w:t>说</w:t>
      </w:r>
      <w:r>
        <w:rPr>
          <w:rFonts w:hint="eastAsia" w:ascii="黑体" w:hAnsi="Calibri" w:eastAsia="黑体" w:cs="Times New Roman"/>
          <w:color w:val="auto"/>
          <w:spacing w:val="24"/>
          <w:sz w:val="36"/>
          <w:szCs w:val="36"/>
          <w:highlight w:val="none"/>
        </w:rPr>
        <w:t xml:space="preserve"> 明</w:t>
      </w:r>
    </w:p>
    <w:p w14:paraId="03A22C19">
      <w:pPr>
        <w:spacing w:line="580" w:lineRule="exact"/>
        <w:ind w:firstLine="567"/>
        <w:jc w:val="center"/>
        <w:rPr>
          <w:rFonts w:ascii="华文中宋" w:hAnsi="宋体" w:eastAsia="华文中宋" w:cs="Times New Roman"/>
          <w:b/>
          <w:color w:val="auto"/>
          <w:spacing w:val="24"/>
          <w:sz w:val="24"/>
          <w:szCs w:val="22"/>
          <w:highlight w:val="none"/>
        </w:rPr>
      </w:pPr>
    </w:p>
    <w:p w14:paraId="64132210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1.本申请表由申请备案的职业健康检查机构填写，填写时，文字要简练，不得涂改，空格处以“无”字填写。</w:t>
      </w:r>
    </w:p>
    <w:p w14:paraId="6D48D7E6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2.单位名称、地址等项目要填写全称，勿用简称。</w:t>
      </w:r>
    </w:p>
    <w:p w14:paraId="551AF5A9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对应的项目，如有则标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，没有则留空。</w:t>
      </w:r>
    </w:p>
    <w:p w14:paraId="33C3E1F7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4.“单位性质”一栏填写国有、集体、民营、中外合资、中外合作、外商独资等。</w:t>
      </w:r>
    </w:p>
    <w:p w14:paraId="50965B59">
      <w:pPr>
        <w:spacing w:line="580" w:lineRule="exact"/>
        <w:ind w:left="17" w:leftChars="8" w:firstLine="617" w:firstLineChars="19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5.“主管部门”一栏填写核发其《医疗机构执业许可证》的卫生健康主管部门名称。</w:t>
      </w:r>
    </w:p>
    <w:p w14:paraId="614C47DE">
      <w:pPr>
        <w:spacing w:line="580" w:lineRule="exact"/>
        <w:ind w:left="17" w:leftChars="8" w:firstLine="617" w:firstLineChars="19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6.凡申请资料为复印件的，均应当清楚并在复印件上写明“与原件完全一致”，复印件要加盖公章。</w:t>
      </w:r>
    </w:p>
    <w:p w14:paraId="60E4A0C8">
      <w:pPr>
        <w:pStyle w:val="5"/>
        <w:shd w:val="clear" w:color="auto" w:fill="FFFFFF"/>
        <w:tabs>
          <w:tab w:val="left" w:pos="5400"/>
        </w:tabs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7.本申请表及所附资料一式二份，申请资料应使用A4纸打印，并按照先后顺序装订成册。</w:t>
      </w:r>
    </w:p>
    <w:p w14:paraId="21E650CE">
      <w:pPr>
        <w:pStyle w:val="5"/>
        <w:shd w:val="clear" w:color="auto" w:fill="FFFFFF"/>
        <w:tabs>
          <w:tab w:val="left" w:pos="5400"/>
        </w:tabs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A6BA249">
      <w:pPr>
        <w:pStyle w:val="5"/>
        <w:shd w:val="clear" w:color="auto" w:fill="FFFFFF"/>
        <w:tabs>
          <w:tab w:val="left" w:pos="5400"/>
        </w:tabs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1C066E">
      <w:pPr>
        <w:pStyle w:val="5"/>
        <w:shd w:val="clear" w:color="auto" w:fill="FFFFFF"/>
        <w:tabs>
          <w:tab w:val="left" w:pos="5400"/>
        </w:tabs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207C6DC">
      <w:pPr>
        <w:pStyle w:val="5"/>
        <w:shd w:val="clear" w:color="auto" w:fill="FFFFFF"/>
        <w:tabs>
          <w:tab w:val="left" w:pos="5400"/>
        </w:tabs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6D7CE5C">
      <w:pPr>
        <w:pStyle w:val="5"/>
        <w:shd w:val="clear" w:color="auto" w:fill="FFFFFF"/>
        <w:tabs>
          <w:tab w:val="left" w:pos="5400"/>
        </w:tabs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7119599">
      <w:pPr>
        <w:pStyle w:val="5"/>
        <w:shd w:val="clear" w:color="auto" w:fill="FFFFFF"/>
        <w:tabs>
          <w:tab w:val="left" w:pos="5400"/>
        </w:tabs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2847108">
      <w:pPr>
        <w:pStyle w:val="5"/>
        <w:shd w:val="clear" w:color="auto" w:fill="FFFFFF"/>
        <w:tabs>
          <w:tab w:val="left" w:pos="5400"/>
        </w:tabs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068D162">
      <w:pPr>
        <w:pStyle w:val="5"/>
        <w:shd w:val="clear" w:color="auto" w:fill="FFFFFF"/>
        <w:tabs>
          <w:tab w:val="left" w:pos="5400"/>
        </w:tabs>
        <w:spacing w:before="0" w:beforeAutospacing="0" w:after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E0BB3CD">
      <w:pPr>
        <w:spacing w:line="560" w:lineRule="exact"/>
        <w:ind w:left="17" w:leftChars="8" w:firstLine="617" w:firstLineChars="193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</w:p>
    <w:p w14:paraId="24766293">
      <w:pPr>
        <w:spacing w:line="560" w:lineRule="exact"/>
        <w:jc w:val="center"/>
        <w:rPr>
          <w:rFonts w:ascii="宋体" w:hAnsi="宋体" w:eastAsia="宋体" w:cs="Times New Roman"/>
          <w:color w:val="auto"/>
          <w:sz w:val="24"/>
          <w:szCs w:val="28"/>
          <w:highlight w:val="none"/>
        </w:rPr>
      </w:pPr>
      <w:r>
        <w:rPr>
          <w:rFonts w:hint="eastAsia" w:ascii="方正小标宋简体" w:hAnsi="宋体" w:eastAsia="方正小标宋简体" w:cs="Times New Roman"/>
          <w:color w:val="auto"/>
          <w:sz w:val="36"/>
          <w:szCs w:val="36"/>
          <w:highlight w:val="none"/>
        </w:rPr>
        <w:t>职业健康检查机构备案表</w:t>
      </w:r>
    </w:p>
    <w:tbl>
      <w:tblPr>
        <w:tblStyle w:val="6"/>
        <w:tblpPr w:leftFromText="180" w:rightFromText="180" w:vertAnchor="text" w:tblpXSpec="center" w:tblpY="1"/>
        <w:tblOverlap w:val="never"/>
        <w:tblW w:w="9456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715"/>
        <w:gridCol w:w="1347"/>
        <w:gridCol w:w="1181"/>
        <w:gridCol w:w="1695"/>
        <w:gridCol w:w="1518"/>
      </w:tblGrid>
      <w:tr w14:paraId="3C43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00" w:type="dxa"/>
            <w:noWrap w:val="0"/>
            <w:vAlign w:val="center"/>
          </w:tcPr>
          <w:p w14:paraId="07864EA1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备案单位名称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 w14:paraId="2CF6730E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B90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单位性质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 w14:paraId="7698E255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</w:tr>
      <w:tr w14:paraId="16C0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00" w:type="dxa"/>
            <w:noWrap w:val="0"/>
            <w:vAlign w:val="center"/>
          </w:tcPr>
          <w:p w14:paraId="0230E41A">
            <w:pPr>
              <w:spacing w:line="440" w:lineRule="exact"/>
              <w:ind w:left="210" w:leftChars="100"/>
              <w:jc w:val="left"/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备案单位地址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 w14:paraId="3D64C601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2D0F07AF">
            <w:pPr>
              <w:spacing w:line="44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邮政编码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 w14:paraId="515D4B8F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</w:tr>
      <w:tr w14:paraId="39BE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000" w:type="dxa"/>
            <w:noWrap w:val="0"/>
            <w:vAlign w:val="center"/>
          </w:tcPr>
          <w:p w14:paraId="78D4D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100"/>
              <w:jc w:val="lef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医疗机构执业许可证号/放射诊疗许可证号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 w14:paraId="44C3045B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A80111C">
            <w:pPr>
              <w:spacing w:line="44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主管部门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 w14:paraId="51802064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</w:tr>
      <w:tr w14:paraId="1B09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2000" w:type="dxa"/>
            <w:noWrap w:val="0"/>
            <w:vAlign w:val="center"/>
          </w:tcPr>
          <w:p w14:paraId="5BE67822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法定代表人</w:t>
            </w:r>
          </w:p>
        </w:tc>
        <w:tc>
          <w:tcPr>
            <w:tcW w:w="1715" w:type="dxa"/>
            <w:noWrap w:val="0"/>
            <w:vAlign w:val="center"/>
          </w:tcPr>
          <w:p w14:paraId="1BF55BF2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38CEF1F6">
            <w:pPr>
              <w:spacing w:line="440" w:lineRule="exact"/>
              <w:jc w:val="left"/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职务/职称</w:t>
            </w:r>
          </w:p>
        </w:tc>
        <w:tc>
          <w:tcPr>
            <w:tcW w:w="1181" w:type="dxa"/>
            <w:noWrap w:val="0"/>
            <w:vAlign w:val="center"/>
          </w:tcPr>
          <w:p w14:paraId="7501A284">
            <w:pPr>
              <w:spacing w:line="440" w:lineRule="exact"/>
              <w:ind w:left="210" w:leftChars="10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F58ACA1">
            <w:pPr>
              <w:tabs>
                <w:tab w:val="left" w:pos="205"/>
              </w:tabs>
              <w:spacing w:line="440" w:lineRule="exact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身份证号码</w:t>
            </w:r>
          </w:p>
        </w:tc>
        <w:tc>
          <w:tcPr>
            <w:tcW w:w="1518" w:type="dxa"/>
            <w:noWrap w:val="0"/>
            <w:vAlign w:val="center"/>
          </w:tcPr>
          <w:p w14:paraId="6B21D82F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</w:tr>
      <w:tr w14:paraId="2DB2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0" w:type="dxa"/>
            <w:noWrap w:val="0"/>
            <w:vAlign w:val="center"/>
          </w:tcPr>
          <w:p w14:paraId="21AB8FC2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联系人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 w14:paraId="51D478FE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4117DE2D">
            <w:pPr>
              <w:spacing w:line="44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联系电话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 w14:paraId="3357AFBD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</w:tr>
      <w:tr w14:paraId="3988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00" w:type="dxa"/>
            <w:noWrap w:val="0"/>
            <w:vAlign w:val="center"/>
          </w:tcPr>
          <w:p w14:paraId="75B89D6E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传  真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 w14:paraId="46B58335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BC03062">
            <w:pPr>
              <w:spacing w:line="44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电子邮箱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 w14:paraId="7644073C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</w:tr>
      <w:tr w14:paraId="5BAD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000" w:type="dxa"/>
            <w:noWrap w:val="0"/>
            <w:vAlign w:val="center"/>
          </w:tcPr>
          <w:p w14:paraId="5ABC32F3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备案检查</w:t>
            </w:r>
          </w:p>
          <w:p w14:paraId="729892ED">
            <w:pPr>
              <w:spacing w:line="440" w:lineRule="exact"/>
              <w:ind w:left="210" w:left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项目类别</w:t>
            </w:r>
          </w:p>
        </w:tc>
        <w:tc>
          <w:tcPr>
            <w:tcW w:w="7456" w:type="dxa"/>
            <w:gridSpan w:val="5"/>
            <w:noWrap w:val="0"/>
            <w:vAlign w:val="center"/>
          </w:tcPr>
          <w:p w14:paraId="2F5A0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 xml:space="preserve">1.接触粉尘类 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>2.接触化学因素类</w:t>
            </w:r>
          </w:p>
          <w:p w14:paraId="1CE4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 xml:space="preserve">3.接触物理因素类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>4.接触生物因素类</w:t>
            </w:r>
          </w:p>
          <w:p w14:paraId="756B7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 xml:space="preserve">5.接触放射因素类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>6.职业性肌肉骨骼疾病</w:t>
            </w:r>
          </w:p>
          <w:p w14:paraId="6B41CE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>.其他类（特殊作业等）</w:t>
            </w:r>
          </w:p>
        </w:tc>
      </w:tr>
      <w:tr w14:paraId="47B3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0" w:type="dxa"/>
            <w:noWrap w:val="0"/>
            <w:vAlign w:val="center"/>
          </w:tcPr>
          <w:p w14:paraId="17F4F0E7">
            <w:pPr>
              <w:spacing w:line="440" w:lineRule="exact"/>
              <w:ind w:left="210" w:leftChars="10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所</w:t>
            </w:r>
          </w:p>
          <w:p w14:paraId="0FE0139C">
            <w:pPr>
              <w:spacing w:line="440" w:lineRule="exact"/>
              <w:ind w:left="210" w:leftChars="10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附</w:t>
            </w:r>
          </w:p>
          <w:p w14:paraId="2DB23441">
            <w:pPr>
              <w:spacing w:line="440" w:lineRule="exact"/>
              <w:ind w:left="210" w:leftChars="10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资</w:t>
            </w:r>
          </w:p>
          <w:p w14:paraId="49615315">
            <w:pPr>
              <w:spacing w:line="440" w:lineRule="exact"/>
              <w:ind w:left="210" w:leftChars="10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料</w:t>
            </w:r>
          </w:p>
          <w:p w14:paraId="1312F607">
            <w:pPr>
              <w:spacing w:line="440" w:lineRule="exact"/>
              <w:ind w:left="210" w:leftChars="10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清</w:t>
            </w:r>
          </w:p>
          <w:p w14:paraId="365A6840">
            <w:pPr>
              <w:spacing w:line="440" w:lineRule="exact"/>
              <w:ind w:left="210" w:leftChars="100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单</w:t>
            </w:r>
          </w:p>
        </w:tc>
        <w:tc>
          <w:tcPr>
            <w:tcW w:w="7456" w:type="dxa"/>
            <w:gridSpan w:val="5"/>
            <w:noWrap w:val="0"/>
            <w:vAlign w:val="center"/>
          </w:tcPr>
          <w:p w14:paraId="1B7A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4" w:leftChars="-1" w:hanging="216" w:hangingChars="103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《医疗机构执业许可证》（涉及放射检查项目的，还应当提交《放射诊疗许可证》）及副本（复印件）；</w:t>
            </w:r>
          </w:p>
          <w:p w14:paraId="40329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2.具有相应的工作场所证明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  <w:lang w:val="en-US" w:eastAsia="zh-CN"/>
              </w:rPr>
              <w:t>资料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；</w:t>
            </w:r>
          </w:p>
          <w:p w14:paraId="5BD63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6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3.具有与备案开展的职业健康检查类别和项目相适应的执业医师、护士等医疗卫生技术人员证明资料；</w:t>
            </w:r>
          </w:p>
          <w:p w14:paraId="3BD99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6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4.至少具有1名取得职业病诊断资格的执业医师的有关资料；</w:t>
            </w:r>
          </w:p>
          <w:p w14:paraId="1DEB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6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5.具有与备案开展的职业健康检查类别和项目相适应的仪器、设备证明资料；</w:t>
            </w:r>
          </w:p>
          <w:p w14:paraId="0C5A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6.职业健康检查质量管理制度有关资料；</w:t>
            </w:r>
          </w:p>
          <w:p w14:paraId="10F6A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7.备案的职业健康检查项目详细说明；</w:t>
            </w:r>
          </w:p>
          <w:p w14:paraId="636DEA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□8.具有与职业健康检查信息报告相应条件的证明资料。</w:t>
            </w:r>
          </w:p>
          <w:p w14:paraId="49AA1D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《职业健康检查管理办法》（国家卫生健康委员会令第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）规定的其他资料（详细列出）：</w:t>
            </w:r>
          </w:p>
        </w:tc>
      </w:tr>
      <w:tr w14:paraId="28E6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0" w:type="dxa"/>
            <w:noWrap w:val="0"/>
            <w:vAlign w:val="center"/>
          </w:tcPr>
          <w:p w14:paraId="1882F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核发其《医疗机构执业许可证》的卫生健康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主管部门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7456" w:type="dxa"/>
            <w:gridSpan w:val="5"/>
            <w:noWrap w:val="0"/>
            <w:vAlign w:val="center"/>
          </w:tcPr>
          <w:p w14:paraId="0199C895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（签署初核意见）</w:t>
            </w:r>
          </w:p>
          <w:p w14:paraId="6997BB90">
            <w:pPr>
              <w:spacing w:line="440" w:lineRule="exact"/>
              <w:ind w:left="208" w:leftChars="0" w:hanging="208" w:hangingChars="8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（盖章）</w:t>
            </w:r>
          </w:p>
          <w:p w14:paraId="48B237A5">
            <w:pPr>
              <w:spacing w:line="440" w:lineRule="exact"/>
              <w:ind w:left="208" w:leftChars="0" w:hanging="208" w:hangingChars="87"/>
              <w:jc w:val="both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 xml:space="preserve">年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 xml:space="preserve"> 月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 xml:space="preserve"> 日</w:t>
            </w:r>
          </w:p>
        </w:tc>
      </w:tr>
      <w:tr w14:paraId="413C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456" w:type="dxa"/>
            <w:gridSpan w:val="6"/>
            <w:noWrap w:val="0"/>
            <w:vAlign w:val="center"/>
          </w:tcPr>
          <w:p w14:paraId="2B1A6CAD">
            <w:pPr>
              <w:tabs>
                <w:tab w:val="left" w:pos="0"/>
              </w:tabs>
              <w:spacing w:line="400" w:lineRule="exact"/>
              <w:ind w:left="202" w:leftChars="96" w:firstLine="427" w:firstLineChars="178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本单位保证上述资料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的真实性、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准确性、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合法性，并承担法律责任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。</w:t>
            </w:r>
          </w:p>
          <w:p w14:paraId="2CA1BC67">
            <w:pPr>
              <w:tabs>
                <w:tab w:val="left" w:pos="0"/>
              </w:tabs>
              <w:spacing w:line="440" w:lineRule="exact"/>
              <w:ind w:left="210" w:leftChars="100" w:firstLine="720" w:firstLineChars="3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备案单位法定代表人：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备案单位：</w:t>
            </w:r>
          </w:p>
          <w:p w14:paraId="7C8FDFE5">
            <w:pPr>
              <w:tabs>
                <w:tab w:val="left" w:pos="0"/>
              </w:tabs>
              <w:spacing w:line="440" w:lineRule="exact"/>
              <w:ind w:left="210" w:leftChars="100" w:firstLine="1200" w:firstLineChars="5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 xml:space="preserve">（签章）：　　                      （公章）　   </w:t>
            </w:r>
          </w:p>
          <w:p w14:paraId="683D3260">
            <w:pPr>
              <w:tabs>
                <w:tab w:val="left" w:pos="0"/>
              </w:tabs>
              <w:spacing w:line="440" w:lineRule="exact"/>
              <w:ind w:left="235" w:leftChars="112" w:firstLine="6508" w:firstLineChars="2712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年   月   日　　　　　</w:t>
            </w:r>
          </w:p>
        </w:tc>
      </w:tr>
    </w:tbl>
    <w:p w14:paraId="31189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8"/>
          <w:szCs w:val="28"/>
          <w:highlight w:val="none"/>
          <w:lang w:val="en-US" w:eastAsia="zh-CN"/>
        </w:rPr>
      </w:pPr>
    </w:p>
    <w:p w14:paraId="2F135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highlight w:val="none"/>
          <w:lang w:val="en-US" w:eastAsia="zh-CN"/>
        </w:rPr>
        <w:t>备案的职业健康检查项目清单</w:t>
      </w: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587"/>
        <w:gridCol w:w="2695"/>
        <w:gridCol w:w="2789"/>
      </w:tblGrid>
      <w:tr w14:paraId="2326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FA930">
            <w:pPr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  <w:highlight w:val="none"/>
                <w:lang w:eastAsia="zh-CN"/>
              </w:rPr>
              <w:t>机构名称</w:t>
            </w:r>
          </w:p>
        </w:tc>
        <w:tc>
          <w:tcPr>
            <w:tcW w:w="8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4A426">
            <w:pPr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18F2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57C2">
            <w:pPr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  <w:highlight w:val="none"/>
              </w:rPr>
              <w:t>类别</w:t>
            </w:r>
          </w:p>
        </w:tc>
        <w:tc>
          <w:tcPr>
            <w:tcW w:w="8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78CB9">
            <w:pPr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  <w:highlight w:val="none"/>
              </w:rPr>
              <w:t>项目名称</w:t>
            </w:r>
          </w:p>
        </w:tc>
      </w:tr>
      <w:tr w14:paraId="66E5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965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接触粉尘类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08C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1.游离二氧化硅粉尘（结晶型二氧化硅粉尘）</w:t>
            </w:r>
          </w:p>
          <w:p w14:paraId="290874C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2.煤尘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D826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3.石棉粉尘</w:t>
            </w:r>
          </w:p>
          <w:p w14:paraId="229B130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4.其他致尘肺病的无机粉尘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2EBD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5.棉尘（包括亚麻、软大麻、黄麻粉尘）</w:t>
            </w:r>
          </w:p>
          <w:p w14:paraId="48A87DC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6.有机粉尘</w:t>
            </w:r>
          </w:p>
        </w:tc>
      </w:tr>
      <w:tr w14:paraId="501C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76C9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接触化学因素类</w:t>
            </w:r>
          </w:p>
          <w:p w14:paraId="22E7A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A5C1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1.铅及其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无机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化合物</w:t>
            </w:r>
          </w:p>
          <w:p w14:paraId="648C78C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2.四乙基铅</w:t>
            </w:r>
          </w:p>
          <w:p w14:paraId="2610E4B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3.汞及其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无机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化合物</w:t>
            </w:r>
          </w:p>
          <w:p w14:paraId="78D0CE9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4.锰及其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无机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化合物</w:t>
            </w:r>
          </w:p>
          <w:p w14:paraId="3436ABD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5.铍及其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无机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化合物</w:t>
            </w:r>
          </w:p>
          <w:p w14:paraId="63E093E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6.镉及其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无机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化合物</w:t>
            </w:r>
          </w:p>
          <w:p w14:paraId="2E39BDA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7.铬及其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无机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化合物</w:t>
            </w:r>
          </w:p>
          <w:p w14:paraId="001CD49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8.氧化锌</w:t>
            </w:r>
          </w:p>
          <w:p w14:paraId="38F2E0C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9.砷</w:t>
            </w:r>
          </w:p>
          <w:p w14:paraId="589F80F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10.砷化氢（砷化三氢）</w:t>
            </w:r>
          </w:p>
          <w:p w14:paraId="68A6BB4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11.磷及其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无机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化合物</w:t>
            </w:r>
          </w:p>
          <w:p w14:paraId="153F572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12.磷化氢</w:t>
            </w:r>
          </w:p>
          <w:p w14:paraId="187DDC0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13.钡化合物（氯化钡、硝酸钡、醋酸钡）</w:t>
            </w:r>
          </w:p>
          <w:p w14:paraId="4755DF3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14.钒及其无机化合物</w:t>
            </w:r>
          </w:p>
          <w:p w14:paraId="06D1BDA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15.三烷基锡</w:t>
            </w:r>
          </w:p>
          <w:p w14:paraId="60B478B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16.铊及其无机化合物</w:t>
            </w:r>
          </w:p>
          <w:p w14:paraId="74ED063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17.羰基镍</w:t>
            </w:r>
          </w:p>
          <w:p w14:paraId="68D2EAB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18.氟及其无机化合物</w:t>
            </w: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19.苯（接触工业甲苯、二甲苯）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FC49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20.二硫化碳</w:t>
            </w:r>
          </w:p>
          <w:p w14:paraId="1D7AA27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21.四氯化碳</w:t>
            </w:r>
          </w:p>
          <w:p w14:paraId="38D8723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22.甲醇</w:t>
            </w:r>
          </w:p>
          <w:p w14:paraId="60B2CDD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23.汽油</w:t>
            </w:r>
          </w:p>
          <w:p w14:paraId="6A6BD21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24.溴甲烷</w:t>
            </w:r>
          </w:p>
          <w:p w14:paraId="5B5470D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25.1,2－二氯乙烷</w:t>
            </w:r>
          </w:p>
          <w:p w14:paraId="0A89F8D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26.正己烷</w:t>
            </w:r>
          </w:p>
          <w:p w14:paraId="69B11DC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27.苯的氨基及硝基化合物</w:t>
            </w:r>
          </w:p>
          <w:p w14:paraId="0026995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28.三硝基甲苯</w:t>
            </w:r>
          </w:p>
          <w:p w14:paraId="414A1D6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29.联苯胺</w:t>
            </w:r>
          </w:p>
          <w:p w14:paraId="400A804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30.氯气</w:t>
            </w:r>
          </w:p>
          <w:p w14:paraId="613ED45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31.二氧化硫</w:t>
            </w:r>
          </w:p>
          <w:p w14:paraId="510F572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32.氮氧化物</w:t>
            </w:r>
          </w:p>
          <w:p w14:paraId="2AF77D4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33.氨</w:t>
            </w:r>
          </w:p>
          <w:p w14:paraId="475FF1A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34.光气</w:t>
            </w:r>
          </w:p>
          <w:p w14:paraId="4AF5F27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35.甲醛</w:t>
            </w:r>
          </w:p>
          <w:p w14:paraId="63F19D6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36.一甲胺</w:t>
            </w:r>
          </w:p>
          <w:p w14:paraId="4D2328D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37.一氧化碳</w:t>
            </w:r>
          </w:p>
          <w:p w14:paraId="3A091A8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38.硫化氢</w:t>
            </w:r>
          </w:p>
          <w:p w14:paraId="29F0E53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39.氯乙烯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93CA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40.三氯乙烯</w:t>
            </w:r>
          </w:p>
          <w:p w14:paraId="022C420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41.氯丙烯</w:t>
            </w:r>
          </w:p>
          <w:p w14:paraId="1B9597D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42.氯丁二烯</w:t>
            </w:r>
          </w:p>
          <w:p w14:paraId="6021FCB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43.有机氟</w:t>
            </w:r>
          </w:p>
          <w:p w14:paraId="7BCD6EA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44.二异氰酸甲苯酯</w:t>
            </w:r>
          </w:p>
          <w:p w14:paraId="13C10B3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45.二甲基甲酰胺</w:t>
            </w:r>
          </w:p>
          <w:p w14:paraId="12A8BB2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46.氰及腈类化合物</w:t>
            </w:r>
          </w:p>
          <w:p w14:paraId="2F96478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47.酚（酚类化合物如甲酚、邻苯二酚、间苯二酚、对苯二酚等）</w:t>
            </w:r>
          </w:p>
          <w:p w14:paraId="7D8191B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48.五氯酚</w:t>
            </w:r>
          </w:p>
          <w:p w14:paraId="34FDA90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49.氯甲醚［双（氯甲基）醚］</w:t>
            </w:r>
          </w:p>
          <w:p w14:paraId="631B15D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50.丙烯酰胺</w:t>
            </w:r>
          </w:p>
          <w:p w14:paraId="39C1E30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51.偏二甲基肼</w:t>
            </w:r>
          </w:p>
          <w:p w14:paraId="7C0AA43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52.硫酸二甲酯</w:t>
            </w:r>
          </w:p>
          <w:p w14:paraId="5A7E55B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53.有机磷杀虫剂</w:t>
            </w:r>
          </w:p>
          <w:p w14:paraId="5FEC238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54.氨基甲酸酯类杀虫剂</w:t>
            </w:r>
          </w:p>
          <w:p w14:paraId="7C014BF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55.拟除虫菊酯类</w:t>
            </w:r>
          </w:p>
          <w:p w14:paraId="40B249A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56.酸雾或酸酐</w:t>
            </w:r>
          </w:p>
          <w:p w14:paraId="4C48DD7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57.致喘物</w:t>
            </w:r>
          </w:p>
          <w:p w14:paraId="1BC2CBD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58.焦炉逸散物</w:t>
            </w:r>
          </w:p>
        </w:tc>
      </w:tr>
      <w:tr w14:paraId="4F8C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B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接触物理因素类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789B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1.噪声</w:t>
            </w:r>
          </w:p>
          <w:p w14:paraId="5A98A5B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2.手传振动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2CF7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3.高温</w:t>
            </w:r>
          </w:p>
          <w:p w14:paraId="750B623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4.高气压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8C83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5.紫外辐射（紫外线）</w:t>
            </w:r>
          </w:p>
          <w:p w14:paraId="05D28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Calibri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6.微波</w:t>
            </w:r>
          </w:p>
        </w:tc>
      </w:tr>
      <w:tr w14:paraId="4A58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99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接触生物因素类</w:t>
            </w:r>
          </w:p>
        </w:tc>
        <w:tc>
          <w:tcPr>
            <w:tcW w:w="8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752C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1.布鲁菌属</w:t>
            </w:r>
          </w:p>
          <w:p w14:paraId="7D40B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2.炭疽芽孢杆菌（简称炭疽杆菌）</w:t>
            </w:r>
          </w:p>
        </w:tc>
      </w:tr>
      <w:tr w14:paraId="07EE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95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接触放射因素类</w:t>
            </w:r>
          </w:p>
        </w:tc>
        <w:tc>
          <w:tcPr>
            <w:tcW w:w="8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B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1.放射作业</w:t>
            </w:r>
          </w:p>
        </w:tc>
      </w:tr>
      <w:tr w14:paraId="14C7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1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highlight w:val="none"/>
              </w:rPr>
              <w:t>职业性肌肉骨骼疾病</w:t>
            </w:r>
          </w:p>
        </w:tc>
        <w:tc>
          <w:tcPr>
            <w:tcW w:w="8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D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制造业工人长时间从事腕部重复作业或用力作业</w:t>
            </w:r>
          </w:p>
        </w:tc>
      </w:tr>
      <w:tr w14:paraId="4FC5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90AA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其他类</w:t>
            </w:r>
          </w:p>
          <w:p w14:paraId="0BC762D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highlight w:val="none"/>
              </w:rPr>
              <w:t>（特殊作业等）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1E0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1.电工作业</w:t>
            </w:r>
          </w:p>
          <w:p w14:paraId="71B3DA9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2.高处作业</w:t>
            </w:r>
          </w:p>
          <w:p w14:paraId="371ECCB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3.压力容器作业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7F31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4.结核病防治工作</w:t>
            </w:r>
          </w:p>
          <w:p w14:paraId="5F78295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5.肝炎病防治工作</w:t>
            </w:r>
          </w:p>
          <w:p w14:paraId="3FE74B1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6.职业机动车驾驶作业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EAC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7.视屏作业</w:t>
            </w:r>
          </w:p>
          <w:p w14:paraId="676C252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8.高原作业</w:t>
            </w:r>
          </w:p>
          <w:p w14:paraId="0BE34C5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32"/>
                <w:szCs w:val="32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9.航空作业</w:t>
            </w:r>
          </w:p>
        </w:tc>
      </w:tr>
    </w:tbl>
    <w:p w14:paraId="3684989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2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1"/>
          <w:szCs w:val="21"/>
          <w:highlight w:val="none"/>
          <w:vertAlign w:val="baseline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1"/>
          <w:szCs w:val="21"/>
          <w:highlight w:val="none"/>
          <w:vertAlign w:val="baseline"/>
          <w:lang w:val="en-US" w:eastAsia="zh-CN"/>
        </w:rPr>
        <w:t>本表根据GBZ188、98制定，具备条件开展的项目才能选择备案。表中未列出的其他职业病危害因素需备案的，应根据GBZ188中4.4.4条规定的原则确定后补充进该表。</w:t>
      </w:r>
    </w:p>
    <w:p w14:paraId="7CC0B6E3">
      <w:pP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</w:p>
    <w:p w14:paraId="750D05B3"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附录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 w14:paraId="0F7F2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职业健康检查机构申请备案医疗卫生技术人员配置要求</w:t>
      </w:r>
    </w:p>
    <w:tbl>
      <w:tblPr>
        <w:tblStyle w:val="7"/>
        <w:tblW w:w="5171" w:type="pct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396"/>
        <w:gridCol w:w="7338"/>
      </w:tblGrid>
      <w:tr w14:paraId="13F0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35" w:type="pct"/>
            <w:gridSpan w:val="2"/>
            <w:noWrap w:val="0"/>
            <w:vAlign w:val="center"/>
          </w:tcPr>
          <w:p w14:paraId="4B4E4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964" w:type="pct"/>
            <w:noWrap w:val="0"/>
            <w:vAlign w:val="center"/>
          </w:tcPr>
          <w:p w14:paraId="1B481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申请备案医疗卫生技术人员配置要求</w:t>
            </w:r>
          </w:p>
        </w:tc>
      </w:tr>
      <w:tr w14:paraId="7525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35" w:type="pct"/>
            <w:gridSpan w:val="2"/>
            <w:noWrap w:val="0"/>
            <w:vAlign w:val="center"/>
          </w:tcPr>
          <w:p w14:paraId="7E813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职业资格</w:t>
            </w:r>
          </w:p>
          <w:p w14:paraId="6888C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3964" w:type="pct"/>
            <w:noWrap w:val="0"/>
            <w:vAlign w:val="center"/>
          </w:tcPr>
          <w:p w14:paraId="7CB5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从事职业健康检查的医师须取得执业医师资格，护士须取得护士资格证，并在本机构注册登记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，第一执业地点在本机构。</w:t>
            </w:r>
          </w:p>
        </w:tc>
      </w:tr>
      <w:tr w14:paraId="206D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035" w:type="pct"/>
            <w:gridSpan w:val="2"/>
            <w:noWrap w:val="0"/>
            <w:vAlign w:val="center"/>
          </w:tcPr>
          <w:p w14:paraId="15FBD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基本人员</w:t>
            </w:r>
          </w:p>
          <w:p w14:paraId="12643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配置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3964" w:type="pct"/>
            <w:noWrap w:val="0"/>
            <w:vAlign w:val="center"/>
          </w:tcPr>
          <w:p w14:paraId="2B333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至少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有1名主检医师（执业范围倾向于内科、公共卫生、职业病等相关专业）。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至少各有1名内、外、耳鼻喉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口腔科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执业医师。至少有3名医学影像（包括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线影像、B超和心电图各1名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专业执业医师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1名医学影像技师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。至少有2名执业护士。临床实验室技术人员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毒物化学检测技术人员不少于2名，其中1名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中级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职称。至少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各有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1名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职业健康检查信息报告人员、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专职或兼职的质量监督员和档案管理人员。</w:t>
            </w:r>
          </w:p>
        </w:tc>
      </w:tr>
      <w:tr w14:paraId="1093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1" w:type="pct"/>
            <w:vMerge w:val="restart"/>
            <w:noWrap w:val="0"/>
            <w:vAlign w:val="center"/>
          </w:tcPr>
          <w:p w14:paraId="1E447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各类职业健康检查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人员配置要求</w:t>
            </w:r>
          </w:p>
        </w:tc>
        <w:tc>
          <w:tcPr>
            <w:tcW w:w="754" w:type="pct"/>
            <w:noWrap w:val="0"/>
            <w:vAlign w:val="center"/>
          </w:tcPr>
          <w:p w14:paraId="06584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粉尘类</w:t>
            </w:r>
          </w:p>
        </w:tc>
        <w:tc>
          <w:tcPr>
            <w:tcW w:w="3964" w:type="pct"/>
            <w:noWrap w:val="0"/>
            <w:vAlign w:val="center"/>
          </w:tcPr>
          <w:p w14:paraId="7B9D0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至少1名具有职业性尘肺病及其他呼吸系统疾病诊断资格的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医师，1名呼吸科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等相关专业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执业医师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。</w:t>
            </w:r>
          </w:p>
        </w:tc>
      </w:tr>
      <w:tr w14:paraId="65FB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" w:type="pct"/>
            <w:vMerge w:val="continue"/>
            <w:noWrap w:val="0"/>
            <w:vAlign w:val="center"/>
          </w:tcPr>
          <w:p w14:paraId="37C2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pct"/>
            <w:noWrap w:val="0"/>
            <w:vAlign w:val="center"/>
          </w:tcPr>
          <w:p w14:paraId="2FD70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化学</w:t>
            </w:r>
          </w:p>
          <w:p w14:paraId="6C159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因素类</w:t>
            </w:r>
          </w:p>
        </w:tc>
        <w:tc>
          <w:tcPr>
            <w:tcW w:w="3964" w:type="pct"/>
            <w:noWrap w:val="0"/>
            <w:vAlign w:val="center"/>
          </w:tcPr>
          <w:p w14:paraId="2332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至少1名具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职业性化学中毒职业病诊断资格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的执业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医师，1名眼科执业医师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1名肺功能检查医师。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备案导致职业性皮肤病的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化学物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必须有1名皮肤科执业医师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）。</w:t>
            </w:r>
          </w:p>
        </w:tc>
      </w:tr>
      <w:tr w14:paraId="04B4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81" w:type="pct"/>
            <w:vMerge w:val="continue"/>
            <w:noWrap w:val="0"/>
            <w:vAlign w:val="center"/>
          </w:tcPr>
          <w:p w14:paraId="43D0F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pct"/>
            <w:noWrap w:val="0"/>
            <w:vAlign w:val="center"/>
          </w:tcPr>
          <w:p w14:paraId="53D48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物理</w:t>
            </w:r>
          </w:p>
          <w:p w14:paraId="72D49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因素类</w:t>
            </w:r>
          </w:p>
        </w:tc>
        <w:tc>
          <w:tcPr>
            <w:tcW w:w="3964" w:type="pct"/>
            <w:noWrap w:val="0"/>
            <w:vAlign w:val="center"/>
          </w:tcPr>
          <w:p w14:paraId="081C6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至少1名具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物理因素所致职业病诊断资格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医师，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名听力检查医师。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（备案微波</w:t>
            </w:r>
            <w:r>
              <w:rPr>
                <w:rFonts w:hint="eastAsia" w:ascii="Calibri" w:hAnsi="Calibri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须有1名眼科执业医师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，备案高气压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、紫外线项目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须有1名皮肤科执业医师和1名眼科执业医师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69E3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1" w:type="pct"/>
            <w:vMerge w:val="continue"/>
            <w:noWrap w:val="0"/>
            <w:vAlign w:val="center"/>
          </w:tcPr>
          <w:p w14:paraId="06B7D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pct"/>
            <w:noWrap w:val="0"/>
            <w:vAlign w:val="center"/>
          </w:tcPr>
          <w:p w14:paraId="47CBE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生物</w:t>
            </w:r>
          </w:p>
          <w:p w14:paraId="6FC48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因素类</w:t>
            </w:r>
          </w:p>
        </w:tc>
        <w:tc>
          <w:tcPr>
            <w:tcW w:w="3964" w:type="pct"/>
            <w:noWrap w:val="0"/>
            <w:vAlign w:val="center"/>
          </w:tcPr>
          <w:p w14:paraId="62D6C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至少1名具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职业性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皮肤病等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其他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病诊断资格的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医师，1名肺功能检查医师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1名妇科执业医师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（布鲁菌属）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、1名皮肤科执业医师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（炭疽杆菌）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0C8D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81" w:type="pct"/>
            <w:vMerge w:val="continue"/>
            <w:noWrap w:val="0"/>
            <w:vAlign w:val="center"/>
          </w:tcPr>
          <w:p w14:paraId="19656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pct"/>
            <w:noWrap w:val="0"/>
            <w:vAlign w:val="center"/>
          </w:tcPr>
          <w:p w14:paraId="3788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放射</w:t>
            </w:r>
          </w:p>
          <w:p w14:paraId="6F758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因素类</w:t>
            </w:r>
          </w:p>
        </w:tc>
        <w:tc>
          <w:tcPr>
            <w:tcW w:w="3964" w:type="pct"/>
            <w:noWrap w:val="0"/>
            <w:vAlign w:val="center"/>
          </w:tcPr>
          <w:p w14:paraId="2E507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至少1名具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有职业性放射性疾病诊断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资格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的执业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医师，1名眼科执业医师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1名皮肤科执业医师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11A2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1" w:type="pct"/>
            <w:vMerge w:val="continue"/>
            <w:noWrap w:val="0"/>
            <w:vAlign w:val="center"/>
          </w:tcPr>
          <w:p w14:paraId="6ABF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pct"/>
            <w:noWrap w:val="0"/>
            <w:vAlign w:val="center"/>
          </w:tcPr>
          <w:p w14:paraId="4C3EE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pacing w:val="-11"/>
                <w:sz w:val="24"/>
                <w:szCs w:val="24"/>
                <w:highlight w:val="none"/>
              </w:rPr>
              <w:t>职业性肌肉骨骼疾病</w:t>
            </w:r>
          </w:p>
        </w:tc>
        <w:tc>
          <w:tcPr>
            <w:tcW w:w="3964" w:type="pct"/>
            <w:noWrap w:val="0"/>
            <w:vAlign w:val="center"/>
          </w:tcPr>
          <w:p w14:paraId="3616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至少1名具有职业性肌肉骨骼疾病诊断资格的执业医师，1名神经内科执业医师、1名骨科执业医师。</w:t>
            </w:r>
          </w:p>
        </w:tc>
      </w:tr>
      <w:tr w14:paraId="1891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81" w:type="pct"/>
            <w:vMerge w:val="continue"/>
            <w:noWrap w:val="0"/>
            <w:vAlign w:val="center"/>
          </w:tcPr>
          <w:p w14:paraId="4B66C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pct"/>
            <w:noWrap w:val="0"/>
            <w:vAlign w:val="center"/>
          </w:tcPr>
          <w:p w14:paraId="6BC05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其他类（特殊作业等）</w:t>
            </w:r>
          </w:p>
        </w:tc>
        <w:tc>
          <w:tcPr>
            <w:tcW w:w="3964" w:type="pct"/>
            <w:noWrap w:val="0"/>
            <w:vAlign w:val="center"/>
          </w:tcPr>
          <w:p w14:paraId="5C57A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至少1名具备职业病诊断资格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的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医师，1名听力检查医师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1名肺功能检查医师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、1名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神经科执业医师。</w:t>
            </w:r>
          </w:p>
        </w:tc>
      </w:tr>
      <w:tr w14:paraId="114F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pct"/>
            <w:gridSpan w:val="2"/>
            <w:noWrap w:val="0"/>
            <w:vAlign w:val="center"/>
          </w:tcPr>
          <w:p w14:paraId="1E3C0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质量和技术负责人资质要求</w:t>
            </w:r>
          </w:p>
        </w:tc>
        <w:tc>
          <w:tcPr>
            <w:tcW w:w="3964" w:type="pct"/>
            <w:noWrap w:val="0"/>
            <w:vAlign w:val="center"/>
          </w:tcPr>
          <w:p w14:paraId="2A3D8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质量负责人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和技术负责人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应为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本医疗机构在册的执业医师、具有副高级以上卫生专业临床技术职务任职资格、熟悉职业病诊断相关法律法规、标准、技术规范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及本单位质量控制体系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</w:tbl>
    <w:p w14:paraId="07D2F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2"/>
          <w:szCs w:val="2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szCs w:val="22"/>
          <w:highlight w:val="none"/>
          <w:lang w:val="en-US" w:eastAsia="zh-CN"/>
        </w:rPr>
        <w:t>注：开展各类职业健康检查工作需要配置的人员是指基本人员配置要求+相应类职业健康检查岗位人员配置要求。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  <w:highlight w:val="none"/>
        </w:rPr>
        <w:t>备案所需有效人员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  <w:highlight w:val="none"/>
          <w:lang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  <w:highlight w:val="none"/>
        </w:rPr>
        <w:t>退休职业健康检查技术人员不超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  <w:highlight w:val="none"/>
        </w:rPr>
        <w:t>名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  <w:highlight w:val="none"/>
          <w:lang w:eastAsia="zh-CN"/>
        </w:rPr>
        <w:t>。</w:t>
      </w:r>
    </w:p>
    <w:p w14:paraId="184F62D8">
      <w:pP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</w:p>
    <w:p w14:paraId="41DC78BA"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附录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 w14:paraId="1987FB9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</w:rPr>
        <w:t>职业健康检查机构主要仪器设备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eastAsia="zh-CN"/>
        </w:rPr>
        <w:t>配置要求</w:t>
      </w:r>
    </w:p>
    <w:tbl>
      <w:tblPr>
        <w:tblStyle w:val="7"/>
        <w:tblW w:w="5076" w:type="pct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182"/>
        <w:gridCol w:w="6171"/>
      </w:tblGrid>
      <w:tr w14:paraId="651C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03" w:type="pct"/>
            <w:gridSpan w:val="2"/>
            <w:noWrap w:val="0"/>
            <w:vAlign w:val="center"/>
          </w:tcPr>
          <w:p w14:paraId="268C8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96" w:type="pct"/>
            <w:noWrap w:val="0"/>
            <w:vAlign w:val="center"/>
          </w:tcPr>
          <w:p w14:paraId="30AAA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设备设施配置要求</w:t>
            </w:r>
          </w:p>
        </w:tc>
      </w:tr>
      <w:tr w14:paraId="0DAA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03" w:type="pct"/>
            <w:gridSpan w:val="2"/>
            <w:noWrap w:val="0"/>
            <w:vAlign w:val="center"/>
          </w:tcPr>
          <w:p w14:paraId="7C7C1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一、</w:t>
            </w:r>
          </w:p>
        </w:tc>
        <w:tc>
          <w:tcPr>
            <w:tcW w:w="3396" w:type="pct"/>
            <w:noWrap w:val="0"/>
            <w:vAlign w:val="center"/>
          </w:tcPr>
          <w:p w14:paraId="59C37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基本配置要求</w:t>
            </w:r>
          </w:p>
        </w:tc>
      </w:tr>
      <w:tr w14:paraId="2DC2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603" w:type="pct"/>
            <w:gridSpan w:val="2"/>
            <w:noWrap w:val="0"/>
            <w:vAlign w:val="center"/>
          </w:tcPr>
          <w:p w14:paraId="6F293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所有因素</w:t>
            </w:r>
          </w:p>
        </w:tc>
        <w:tc>
          <w:tcPr>
            <w:tcW w:w="3396" w:type="pct"/>
            <w:noWrap w:val="0"/>
            <w:vAlign w:val="center"/>
          </w:tcPr>
          <w:p w14:paraId="7FC4B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血压计、听诊器、叩诊锤、心电图仪、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肺功能仪、B超机、X光机或DR机、视力计、裂隙灯、眼底镜、检耳镜、额镜（或电子耳镜）等内外科、眼科、耳科、神经内科常规检查等设备设施。</w:t>
            </w:r>
          </w:p>
          <w:p w14:paraId="5D35C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建立临床医学检验室，具备显微镜、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尿常规分析仪、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生化分析仪、全血分析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等常见设备设施。</w:t>
            </w:r>
          </w:p>
        </w:tc>
      </w:tr>
      <w:tr w14:paraId="4372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03" w:type="pct"/>
            <w:gridSpan w:val="2"/>
            <w:noWrap w:val="0"/>
            <w:vAlign w:val="center"/>
          </w:tcPr>
          <w:p w14:paraId="21B8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二、</w:t>
            </w:r>
          </w:p>
        </w:tc>
        <w:tc>
          <w:tcPr>
            <w:tcW w:w="3396" w:type="pct"/>
            <w:noWrap w:val="0"/>
            <w:vAlign w:val="center"/>
          </w:tcPr>
          <w:p w14:paraId="2DA7E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特殊配置要求</w:t>
            </w:r>
          </w:p>
        </w:tc>
      </w:tr>
      <w:tr w14:paraId="7599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03" w:type="pct"/>
            <w:gridSpan w:val="2"/>
            <w:noWrap w:val="0"/>
            <w:vAlign w:val="center"/>
          </w:tcPr>
          <w:p w14:paraId="22B7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粉尘因素类</w:t>
            </w:r>
          </w:p>
        </w:tc>
        <w:tc>
          <w:tcPr>
            <w:tcW w:w="3396" w:type="pct"/>
            <w:noWrap w:val="0"/>
            <w:vAlign w:val="center"/>
          </w:tcPr>
          <w:p w14:paraId="47EB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高仟伏胸片X光机（高频机，管电压达150kv,500mA以上）或DR机（高频逆变高压发生器，最大输出功率≥20kW,逆变频率≥20kHz,输出电压40kv-150kv）（符合《职业健康监护技术规范》附录C的要求）、尘肺病诊断标准片。</w:t>
            </w:r>
          </w:p>
        </w:tc>
      </w:tr>
      <w:tr w14:paraId="0305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2" w:type="pct"/>
            <w:vMerge w:val="restart"/>
            <w:noWrap w:val="0"/>
            <w:vAlign w:val="center"/>
          </w:tcPr>
          <w:p w14:paraId="5F9E4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化学因素类</w:t>
            </w:r>
          </w:p>
        </w:tc>
        <w:tc>
          <w:tcPr>
            <w:tcW w:w="1200" w:type="pct"/>
            <w:noWrap w:val="0"/>
            <w:vAlign w:val="center"/>
          </w:tcPr>
          <w:p w14:paraId="532F9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、汞、锰、铬、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及其无机化合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物，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三烷基锡</w:t>
            </w:r>
          </w:p>
        </w:tc>
        <w:tc>
          <w:tcPr>
            <w:tcW w:w="3396" w:type="pct"/>
            <w:noWrap w:val="0"/>
            <w:vAlign w:val="center"/>
          </w:tcPr>
          <w:p w14:paraId="77FEEA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原子吸收光谱仪（石墨炉法）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或原子荧光分光光度计。</w:t>
            </w:r>
          </w:p>
        </w:tc>
      </w:tr>
      <w:tr w14:paraId="7D49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02" w:type="pct"/>
            <w:vMerge w:val="continue"/>
            <w:noWrap w:val="0"/>
            <w:vAlign w:val="center"/>
          </w:tcPr>
          <w:p w14:paraId="2804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Calibri" w:hAnsi="Calibri" w:eastAsia="宋体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169CE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铍、镉及其无机化合物</w:t>
            </w:r>
          </w:p>
        </w:tc>
        <w:tc>
          <w:tcPr>
            <w:tcW w:w="3396" w:type="pct"/>
            <w:noWrap w:val="0"/>
            <w:vAlign w:val="center"/>
          </w:tcPr>
          <w:p w14:paraId="47693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原子吸收光谱仪（石墨炉法）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、血氧饱和度测定仪器、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血气分析仪。</w:t>
            </w:r>
          </w:p>
        </w:tc>
      </w:tr>
      <w:tr w14:paraId="0532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2" w:type="pct"/>
            <w:vMerge w:val="continue"/>
            <w:noWrap w:val="0"/>
            <w:vAlign w:val="center"/>
          </w:tcPr>
          <w:p w14:paraId="22B9F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154F8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砷化氢</w:t>
            </w:r>
          </w:p>
        </w:tc>
        <w:tc>
          <w:tcPr>
            <w:tcW w:w="3396" w:type="pct"/>
            <w:noWrap w:val="0"/>
            <w:vAlign w:val="center"/>
          </w:tcPr>
          <w:p w14:paraId="61D9F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血清葡萄糖-6-磷酸脱氢酶缺乏症筛选试验（高铁血红蛋白还原试验等）。</w:t>
            </w:r>
          </w:p>
        </w:tc>
      </w:tr>
      <w:tr w14:paraId="54DA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02" w:type="pct"/>
            <w:vMerge w:val="continue"/>
            <w:noWrap w:val="0"/>
            <w:vAlign w:val="center"/>
          </w:tcPr>
          <w:p w14:paraId="58F9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78619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磷及其无机化合物</w:t>
            </w:r>
          </w:p>
        </w:tc>
        <w:tc>
          <w:tcPr>
            <w:tcW w:w="3396" w:type="pct"/>
            <w:noWrap w:val="0"/>
            <w:vAlign w:val="center"/>
          </w:tcPr>
          <w:p w14:paraId="1CF20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牙科X光机。</w:t>
            </w:r>
          </w:p>
        </w:tc>
      </w:tr>
      <w:tr w14:paraId="44B0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2" w:type="pct"/>
            <w:vMerge w:val="continue"/>
            <w:noWrap w:val="0"/>
            <w:vAlign w:val="center"/>
          </w:tcPr>
          <w:p w14:paraId="5B9E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Calibri" w:hAnsi="Calibri" w:eastAsia="宋体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549EC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磷化氢、钒及其化合物、羰基镍、有机氟、二异氰酸甲苯酯、致喘物、一氧化碳、硫化氢</w:t>
            </w:r>
          </w:p>
        </w:tc>
        <w:tc>
          <w:tcPr>
            <w:tcW w:w="3396" w:type="pct"/>
            <w:noWrap w:val="0"/>
            <w:vAlign w:val="center"/>
          </w:tcPr>
          <w:p w14:paraId="694D3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血氧饱和度测定仪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</w:tr>
      <w:tr w14:paraId="6AF9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02" w:type="pct"/>
            <w:vMerge w:val="continue"/>
            <w:noWrap w:val="0"/>
            <w:vAlign w:val="center"/>
          </w:tcPr>
          <w:p w14:paraId="03DA0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00A1B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氟及其无机化合物</w:t>
            </w:r>
          </w:p>
        </w:tc>
        <w:tc>
          <w:tcPr>
            <w:tcW w:w="3396" w:type="pct"/>
            <w:noWrap w:val="0"/>
            <w:vAlign w:val="center"/>
          </w:tcPr>
          <w:p w14:paraId="5C317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PH计或酸度计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原子吸收光谱仪。</w:t>
            </w:r>
          </w:p>
        </w:tc>
      </w:tr>
      <w:tr w14:paraId="0EAF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02" w:type="pct"/>
            <w:vMerge w:val="continue"/>
            <w:noWrap w:val="0"/>
            <w:vAlign w:val="center"/>
          </w:tcPr>
          <w:p w14:paraId="15B51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7B0DF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甲醇</w:t>
            </w:r>
          </w:p>
        </w:tc>
        <w:tc>
          <w:tcPr>
            <w:tcW w:w="3396" w:type="pct"/>
            <w:noWrap w:val="0"/>
            <w:vAlign w:val="center"/>
          </w:tcPr>
          <w:p w14:paraId="3729A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血气分析仪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highlight w:val="none"/>
              </w:rPr>
              <w:t>、视野仪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73E5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02" w:type="pct"/>
            <w:vMerge w:val="continue"/>
            <w:noWrap w:val="0"/>
            <w:vAlign w:val="center"/>
          </w:tcPr>
          <w:p w14:paraId="75FD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28C34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氯气、二氧化硫、氮氧化物、氨、光气、甲醛、一甲胺、硫酸二甲酯</w:t>
            </w:r>
          </w:p>
        </w:tc>
        <w:tc>
          <w:tcPr>
            <w:tcW w:w="3396" w:type="pct"/>
            <w:noWrap w:val="0"/>
            <w:vAlign w:val="center"/>
          </w:tcPr>
          <w:p w14:paraId="797A7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血氧饱和度测定仪、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血气分析仪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咽喉镜、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皮肤科常规检查。</w:t>
            </w:r>
          </w:p>
        </w:tc>
      </w:tr>
      <w:tr w14:paraId="249B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02" w:type="pct"/>
            <w:vMerge w:val="continue"/>
            <w:noWrap w:val="0"/>
            <w:vAlign w:val="center"/>
          </w:tcPr>
          <w:p w14:paraId="051B4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4374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氰及腈类化合物</w:t>
            </w:r>
          </w:p>
        </w:tc>
        <w:tc>
          <w:tcPr>
            <w:tcW w:w="3396" w:type="pct"/>
            <w:noWrap w:val="0"/>
            <w:vAlign w:val="center"/>
          </w:tcPr>
          <w:p w14:paraId="42F7B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1"/>
                <w:szCs w:val="21"/>
                <w:highlight w:val="none"/>
              </w:rPr>
              <w:t>血气分析仪、血乳酸分析仪</w:t>
            </w:r>
            <w:r>
              <w:rPr>
                <w:rFonts w:hint="eastAsia" w:ascii="Calibri" w:hAnsi="Calibri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42AA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02" w:type="pct"/>
            <w:vMerge w:val="continue"/>
            <w:noWrap w:val="0"/>
            <w:vAlign w:val="center"/>
          </w:tcPr>
          <w:p w14:paraId="6C95F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11CCD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酚及酚类化合物</w:t>
            </w:r>
          </w:p>
        </w:tc>
        <w:tc>
          <w:tcPr>
            <w:tcW w:w="3396" w:type="pct"/>
            <w:noWrap w:val="0"/>
            <w:vAlign w:val="center"/>
          </w:tcPr>
          <w:p w14:paraId="2092B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气相色谱仪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60A7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2" w:type="pct"/>
            <w:vMerge w:val="continue"/>
            <w:noWrap w:val="0"/>
            <w:vAlign w:val="center"/>
          </w:tcPr>
          <w:p w14:paraId="21A5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00ADC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酸雾或酸酐</w:t>
            </w:r>
          </w:p>
        </w:tc>
        <w:tc>
          <w:tcPr>
            <w:tcW w:w="3396" w:type="pct"/>
            <w:noWrap w:val="0"/>
            <w:vAlign w:val="center"/>
          </w:tcPr>
          <w:p w14:paraId="6D01E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口腔科、皮肤科常规检查。</w:t>
            </w:r>
          </w:p>
        </w:tc>
      </w:tr>
      <w:tr w14:paraId="19D5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02" w:type="pct"/>
            <w:vMerge w:val="continue"/>
            <w:noWrap w:val="0"/>
            <w:vAlign w:val="center"/>
          </w:tcPr>
          <w:p w14:paraId="7633B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Calibri" w:hAnsi="Calibri" w:eastAsia="宋体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01845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焦炉逸散物</w:t>
            </w:r>
          </w:p>
        </w:tc>
        <w:tc>
          <w:tcPr>
            <w:tcW w:w="3396" w:type="pct"/>
            <w:noWrap w:val="0"/>
            <w:vAlign w:val="center"/>
          </w:tcPr>
          <w:p w14:paraId="40AD1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皮肤科常规检查。</w:t>
            </w:r>
          </w:p>
        </w:tc>
      </w:tr>
      <w:tr w14:paraId="6CF6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02" w:type="pct"/>
            <w:vMerge w:val="restart"/>
            <w:noWrap w:val="0"/>
            <w:vAlign w:val="center"/>
          </w:tcPr>
          <w:p w14:paraId="65CD3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物理因素类</w:t>
            </w:r>
          </w:p>
        </w:tc>
        <w:tc>
          <w:tcPr>
            <w:tcW w:w="1200" w:type="pct"/>
            <w:noWrap w:val="0"/>
            <w:vAlign w:val="center"/>
          </w:tcPr>
          <w:p w14:paraId="42969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噪声</w:t>
            </w:r>
          </w:p>
        </w:tc>
        <w:tc>
          <w:tcPr>
            <w:tcW w:w="3396" w:type="pct"/>
            <w:noWrap w:val="0"/>
            <w:vAlign w:val="center"/>
          </w:tcPr>
          <w:p w14:paraId="5CB64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纯音听力测试仪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、符合GB/T 16296.1-2018要求的测听室。</w:t>
            </w:r>
          </w:p>
        </w:tc>
      </w:tr>
      <w:tr w14:paraId="72E8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2" w:type="pct"/>
            <w:vMerge w:val="continue"/>
            <w:noWrap w:val="0"/>
            <w:vAlign w:val="center"/>
          </w:tcPr>
          <w:p w14:paraId="52EC5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5F41B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高气压</w:t>
            </w:r>
          </w:p>
        </w:tc>
        <w:tc>
          <w:tcPr>
            <w:tcW w:w="3396" w:type="pct"/>
            <w:noWrap w:val="0"/>
            <w:vAlign w:val="center"/>
          </w:tcPr>
          <w:p w14:paraId="58D8C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粪常规检查设备、纯音听力测试仪、符合GB/T 16296.1-2018要求的测听室、加压舱。</w:t>
            </w:r>
          </w:p>
        </w:tc>
      </w:tr>
      <w:tr w14:paraId="1CE4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02" w:type="pct"/>
            <w:vMerge w:val="continue"/>
            <w:noWrap w:val="0"/>
            <w:vAlign w:val="center"/>
          </w:tcPr>
          <w:p w14:paraId="3286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1AB4C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紫外辐射（紫外线）</w:t>
            </w:r>
          </w:p>
        </w:tc>
        <w:tc>
          <w:tcPr>
            <w:tcW w:w="3396" w:type="pct"/>
            <w:noWrap w:val="0"/>
            <w:vAlign w:val="center"/>
          </w:tcPr>
          <w:p w14:paraId="20BEA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皮肤科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常规检查。</w:t>
            </w:r>
          </w:p>
        </w:tc>
      </w:tr>
      <w:tr w14:paraId="55CF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pct"/>
            <w:gridSpan w:val="2"/>
            <w:noWrap w:val="0"/>
            <w:vAlign w:val="center"/>
          </w:tcPr>
          <w:p w14:paraId="268BF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生物因素类</w:t>
            </w:r>
          </w:p>
        </w:tc>
        <w:tc>
          <w:tcPr>
            <w:tcW w:w="3396" w:type="pct"/>
            <w:noWrap w:val="0"/>
            <w:vAlign w:val="center"/>
          </w:tcPr>
          <w:p w14:paraId="14D02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立生物检测实验室，具备光学显微镜、二氧化碳培养箱、净化工作台、高压蒸汽灭菌器、电热鼓风干燥箱、高速离心机、恒温水槽或水浴锅、分析天平、生物安全柜、全自动细菌鉴定药敏分析仪等设备设施。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妇科检查设备（布鲁菌属）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皮肤科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常规检查（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炭疽杆菌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22FC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pct"/>
            <w:gridSpan w:val="2"/>
            <w:noWrap w:val="0"/>
            <w:vAlign w:val="center"/>
          </w:tcPr>
          <w:p w14:paraId="4DC62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放射因素类</w:t>
            </w:r>
          </w:p>
        </w:tc>
        <w:tc>
          <w:tcPr>
            <w:tcW w:w="3396" w:type="pct"/>
            <w:noWrap w:val="0"/>
            <w:vAlign w:val="center"/>
          </w:tcPr>
          <w:p w14:paraId="4844C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淋巴细胞染色体畸变率、微核率检查的仪器设备（光学显微镜、培养箱、超净工作台或生物安全柜、高压蒸汽灭菌锅、电热鼓风干燥箱、高速离心机、水浴锅等），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具备染色体畸变分析及微核分析能力。</w:t>
            </w:r>
          </w:p>
        </w:tc>
      </w:tr>
      <w:tr w14:paraId="010E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03" w:type="pct"/>
            <w:gridSpan w:val="2"/>
            <w:noWrap w:val="0"/>
            <w:vAlign w:val="center"/>
          </w:tcPr>
          <w:p w14:paraId="77F87C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1"/>
                <w:szCs w:val="21"/>
                <w:highlight w:val="none"/>
              </w:rPr>
              <w:t>职业性肌肉骨骼疾病</w:t>
            </w:r>
          </w:p>
        </w:tc>
        <w:tc>
          <w:tcPr>
            <w:tcW w:w="3396" w:type="pct"/>
            <w:noWrap w:val="0"/>
            <w:vAlign w:val="center"/>
          </w:tcPr>
          <w:p w14:paraId="466A9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高频线阵探头超声多普勒诊断仪（探头频率为10MHz以上）、神经-肌电图仪。</w:t>
            </w:r>
          </w:p>
        </w:tc>
      </w:tr>
      <w:tr w14:paraId="19B3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02" w:type="pct"/>
            <w:vMerge w:val="restart"/>
            <w:noWrap w:val="0"/>
            <w:vAlign w:val="center"/>
          </w:tcPr>
          <w:p w14:paraId="251DA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Calibri" w:hAnsi="Calibri" w:eastAsia="宋体" w:cs="Times New Roman"/>
                <w:color w:val="auto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其他类（特殊作业等）</w:t>
            </w:r>
          </w:p>
        </w:tc>
        <w:tc>
          <w:tcPr>
            <w:tcW w:w="1200" w:type="pct"/>
            <w:noWrap w:val="0"/>
            <w:vAlign w:val="center"/>
          </w:tcPr>
          <w:p w14:paraId="72EBF991">
            <w:p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压力容器作业</w:t>
            </w:r>
          </w:p>
        </w:tc>
        <w:tc>
          <w:tcPr>
            <w:tcW w:w="3396" w:type="pct"/>
            <w:noWrap w:val="0"/>
            <w:vAlign w:val="center"/>
          </w:tcPr>
          <w:p w14:paraId="76493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纯音听力测试仪、符合GB/T 16296.1-2018要求的测听室</w:t>
            </w:r>
            <w:r>
              <w:rPr>
                <w:rFonts w:hint="eastAsia" w:ascii="Calibri" w:hAnsi="Calibri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3081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02" w:type="pct"/>
            <w:vMerge w:val="continue"/>
            <w:noWrap w:val="0"/>
            <w:vAlign w:val="center"/>
          </w:tcPr>
          <w:p w14:paraId="5905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252B4042">
            <w:p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职业机动车驾驶员作业</w:t>
            </w:r>
          </w:p>
        </w:tc>
        <w:tc>
          <w:tcPr>
            <w:tcW w:w="3396" w:type="pct"/>
            <w:noWrap w:val="0"/>
            <w:vAlign w:val="center"/>
          </w:tcPr>
          <w:p w14:paraId="79B67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纯音听力测试仪、符合GB/T 16296.1-2018要求的测听室、眼科检查设备(深视力测定仪、视野仪、视力表、色觉图等）。</w:t>
            </w:r>
          </w:p>
        </w:tc>
      </w:tr>
      <w:tr w14:paraId="7DAB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Merge w:val="continue"/>
            <w:noWrap w:val="0"/>
            <w:vAlign w:val="center"/>
          </w:tcPr>
          <w:p w14:paraId="0B951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1683E2EC"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视屏作业</w:t>
            </w:r>
          </w:p>
        </w:tc>
        <w:tc>
          <w:tcPr>
            <w:tcW w:w="3396" w:type="pct"/>
            <w:noWrap w:val="0"/>
            <w:vAlign w:val="center"/>
          </w:tcPr>
          <w:p w14:paraId="06C74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外科（叩击、屈腕试验）检查设备。</w:t>
            </w:r>
          </w:p>
        </w:tc>
      </w:tr>
      <w:tr w14:paraId="2E89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Merge w:val="continue"/>
            <w:noWrap w:val="0"/>
            <w:vAlign w:val="center"/>
          </w:tcPr>
          <w:p w14:paraId="406A59CC"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00" w:type="pct"/>
            <w:noWrap w:val="0"/>
            <w:vAlign w:val="center"/>
          </w:tcPr>
          <w:p w14:paraId="739E28E7"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航空作业</w:t>
            </w:r>
          </w:p>
        </w:tc>
        <w:tc>
          <w:tcPr>
            <w:tcW w:w="3396" w:type="pct"/>
            <w:noWrap w:val="0"/>
            <w:vAlign w:val="center"/>
          </w:tcPr>
          <w:p w14:paraId="79653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X光机（胸部、鼻窦）、纯音听力测试仪、符合GB/T 16296.1-2018要求的测听室、耳鼻咽喉科（耳气压功能检查）检查设备。</w:t>
            </w:r>
          </w:p>
        </w:tc>
      </w:tr>
      <w:tr w14:paraId="3085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pct"/>
            <w:gridSpan w:val="2"/>
            <w:noWrap w:val="0"/>
            <w:vAlign w:val="center"/>
          </w:tcPr>
          <w:p w14:paraId="51592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设备（仪器、车辆）的计量检定要求</w:t>
            </w:r>
          </w:p>
        </w:tc>
        <w:tc>
          <w:tcPr>
            <w:tcW w:w="3396" w:type="pct"/>
            <w:noWrap w:val="0"/>
            <w:vAlign w:val="center"/>
          </w:tcPr>
          <w:p w14:paraId="1CB8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有强制检定要求的所有仪器设备，均应按时进行计量检定，并贴有检定合格标识，无计量检定规程的仪器应有自行校验的记录，所有仪器设备应建立档案管理，包括购置、使用、维护、保养及计量检定等内容。</w:t>
            </w:r>
          </w:p>
        </w:tc>
      </w:tr>
      <w:tr w14:paraId="5D9D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pct"/>
            <w:gridSpan w:val="2"/>
            <w:noWrap w:val="0"/>
            <w:vAlign w:val="center"/>
          </w:tcPr>
          <w:p w14:paraId="3A04F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生物监测能力要求</w:t>
            </w:r>
          </w:p>
        </w:tc>
        <w:tc>
          <w:tcPr>
            <w:tcW w:w="3396" w:type="pct"/>
            <w:noWrap w:val="0"/>
            <w:vAlign w:val="center"/>
          </w:tcPr>
          <w:p w14:paraId="3F55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淋巴细胞染色体畸变率、微核率检查可与具有相应</w:t>
            </w:r>
            <w:r>
              <w:rPr>
                <w:rFonts w:hint="eastAsia" w:ascii="Calibri" w:hAnsi="Calibri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资质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的机构协议委托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原子吸收或原子荧光分光光度计（石墨炉）测血铅、尿铅、尿汞、尿镉、尿砷</w:t>
            </w:r>
            <w:r>
              <w:rPr>
                <w:rFonts w:hint="eastAsia" w:ascii="Calibri" w:hAnsi="Calibri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，可以与有生物材料检验铅、汞、镉、砷的计量认证单位协议委托</w:t>
            </w:r>
            <w:r>
              <w:rPr>
                <w:rFonts w:hint="eastAsia" w:ascii="Calibri" w:hAnsi="Calibri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。上述也可委托有相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关设备的已备案开展相关项目的职业健康检查机构，被委托机构应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当符合质量控制相关要求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，具有相应的能力，不允许职业健康检查机构发生转包。</w:t>
            </w:r>
          </w:p>
        </w:tc>
      </w:tr>
      <w:tr w14:paraId="75C4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03" w:type="pct"/>
            <w:gridSpan w:val="2"/>
            <w:noWrap w:val="0"/>
            <w:vAlign w:val="center"/>
          </w:tcPr>
          <w:p w14:paraId="5A88E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外出体检要求</w:t>
            </w:r>
          </w:p>
        </w:tc>
        <w:tc>
          <w:tcPr>
            <w:tcW w:w="3396" w:type="pct"/>
            <w:noWrap w:val="0"/>
            <w:vAlign w:val="center"/>
          </w:tcPr>
          <w:p w14:paraId="1F713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移动DR及标准</w:t>
            </w:r>
            <w:r>
              <w:rPr>
                <w:rFonts w:hint="eastAsia" w:ascii="Calibri" w:hAnsi="Calibri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电测听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室车一辆，</w:t>
            </w:r>
            <w:r>
              <w:rPr>
                <w:rFonts w:hint="eastAsia" w:ascii="Calibri" w:hAnsi="Calibri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配备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车载冰箱、采血台、操作台、标准医用检查床、心电图机、</w:t>
            </w:r>
            <w:r>
              <w:rPr>
                <w:rFonts w:hint="eastAsia" w:ascii="Calibri" w:hAnsi="Calibri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肺功能机、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医用便携式彩色多普勒超声波诊断仪</w:t>
            </w:r>
            <w:r>
              <w:rPr>
                <w:rFonts w:hint="eastAsia" w:ascii="Calibri" w:hAnsi="Calibri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等，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局域网体检系统1套。</w:t>
            </w:r>
          </w:p>
        </w:tc>
      </w:tr>
    </w:tbl>
    <w:p w14:paraId="26E8C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szCs w:val="22"/>
          <w:highlight w:val="none"/>
          <w:lang w:val="en-US" w:eastAsia="zh-CN"/>
        </w:rPr>
        <w:t>注：开展各类职业健康检查工作需要配置的仪器设备是指基本配置要求+相应职业健康检查</w:t>
      </w:r>
      <w:r>
        <w:rPr>
          <w:rFonts w:hint="eastAsia" w:ascii="Times New Roman" w:hAnsi="Times New Roman" w:eastAsia="仿宋_GB2312" w:cs="Times New Roman"/>
          <w:color w:val="auto"/>
          <w:sz w:val="22"/>
          <w:szCs w:val="22"/>
          <w:highlight w:val="none"/>
          <w:lang w:val="en-US" w:eastAsia="zh-CN"/>
        </w:rPr>
        <w:t>项目特殊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  <w:highlight w:val="none"/>
          <w:lang w:val="en-US" w:eastAsia="zh-CN"/>
        </w:rPr>
        <w:t>配备要求。</w:t>
      </w:r>
      <w:r>
        <w:rPr>
          <w:rFonts w:hint="eastAsia" w:ascii="Times New Roman" w:hAnsi="Times New Roman" w:eastAsia="仿宋_GB2312" w:cs="Times New Roman"/>
          <w:color w:val="auto"/>
          <w:sz w:val="22"/>
          <w:szCs w:val="22"/>
          <w:highlight w:val="none"/>
          <w:lang w:val="en-US" w:eastAsia="zh-CN"/>
        </w:rPr>
        <w:t>上述设备为最低配置，须是本机构配置并正常使用，数量应满足日常体检人数工作需要。</w:t>
      </w:r>
    </w:p>
    <w:p w14:paraId="7026F8CF">
      <w:pP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</w:p>
    <w:p w14:paraId="4A4C52A5">
      <w:pP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</w:p>
    <w:p w14:paraId="0D45013B">
      <w:pP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</w:p>
    <w:bookmarkEnd w:id="0"/>
    <w:p w14:paraId="4EBD422F">
      <w:bookmarkStart w:id="1" w:name="_GoBack"/>
      <w:bookmarkEnd w:id="1"/>
    </w:p>
    <w:sectPr>
      <w:footerReference r:id="rId3" w:type="default"/>
      <w:pgSz w:w="11906" w:h="16838"/>
      <w:pgMar w:top="1814" w:right="1587" w:bottom="1701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C6711">
    <w:pPr>
      <w:pStyle w:val="3"/>
      <w:tabs>
        <w:tab w:val="left" w:pos="1511"/>
        <w:tab w:val="right" w:pos="8426"/>
      </w:tabs>
      <w:jc w:val="lef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2362A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B2362A"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1324F"/>
    <w:multiLevelType w:val="multilevel"/>
    <w:tmpl w:val="7CD1324F"/>
    <w:lvl w:ilvl="0" w:tentative="0">
      <w:start w:val="1"/>
      <w:numFmt w:val="chineseCountingThousand"/>
      <w:pStyle w:val="10"/>
      <w:lvlText w:val="第%1条  "/>
      <w:lvlJc w:val="left"/>
      <w:pPr>
        <w:tabs>
          <w:tab w:val="left" w:pos="1800"/>
        </w:tabs>
        <w:ind w:left="1800" w:hanging="360"/>
      </w:pPr>
      <w:rPr>
        <w:rFonts w:hint="eastAsia" w:ascii="Times New Roman" w:hAnsi="Times New Roman" w:eastAsia="黑体"/>
        <w:sz w:val="32"/>
      </w:rPr>
    </w:lvl>
    <w:lvl w:ilvl="1" w:tentative="0">
      <w:start w:val="1"/>
      <w:numFmt w:val="bullet"/>
      <w:lvlText w:val=""/>
      <w:lvlJc w:val="left"/>
      <w:pPr>
        <w:tabs>
          <w:tab w:val="left" w:pos="2520"/>
        </w:tabs>
        <w:ind w:left="2520" w:hanging="36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"/>
      <w:lvlJc w:val="left"/>
      <w:pPr>
        <w:tabs>
          <w:tab w:val="left" w:pos="3240"/>
        </w:tabs>
        <w:ind w:left="324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3960"/>
        </w:tabs>
        <w:ind w:left="396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"/>
      <w:lvlJc w:val="left"/>
      <w:pPr>
        <w:tabs>
          <w:tab w:val="left" w:pos="4680"/>
        </w:tabs>
        <w:ind w:left="468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"/>
      <w:lvlJc w:val="left"/>
      <w:pPr>
        <w:tabs>
          <w:tab w:val="left" w:pos="5400"/>
        </w:tabs>
        <w:ind w:left="540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6120"/>
        </w:tabs>
        <w:ind w:left="612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"/>
      <w:lvlJc w:val="left"/>
      <w:pPr>
        <w:tabs>
          <w:tab w:val="left" w:pos="6840"/>
        </w:tabs>
        <w:ind w:left="684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"/>
      <w:lvlJc w:val="left"/>
      <w:pPr>
        <w:tabs>
          <w:tab w:val="left" w:pos="7560"/>
        </w:tabs>
        <w:ind w:left="7560" w:hanging="360"/>
      </w:pPr>
      <w:rPr>
        <w:rFonts w:hint="default" w:ascii="Wingdings" w:hAnsi="Wingdings" w:cs="Wingding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592A33"/>
    <w:rsid w:val="06E97E74"/>
    <w:rsid w:val="079C1697"/>
    <w:rsid w:val="0CF15CBE"/>
    <w:rsid w:val="0EFF34DF"/>
    <w:rsid w:val="0FEB4999"/>
    <w:rsid w:val="12BFC360"/>
    <w:rsid w:val="169D6430"/>
    <w:rsid w:val="16B74B53"/>
    <w:rsid w:val="1D3DFBE6"/>
    <w:rsid w:val="1E7C2BA8"/>
    <w:rsid w:val="1F7D9304"/>
    <w:rsid w:val="1FD6A2EF"/>
    <w:rsid w:val="1FEF5819"/>
    <w:rsid w:val="1FF7DD29"/>
    <w:rsid w:val="20A87985"/>
    <w:rsid w:val="263D5F02"/>
    <w:rsid w:val="27533104"/>
    <w:rsid w:val="277F5E50"/>
    <w:rsid w:val="27FB4FB4"/>
    <w:rsid w:val="2BFB529C"/>
    <w:rsid w:val="2FEE0B0C"/>
    <w:rsid w:val="2FF76621"/>
    <w:rsid w:val="30FED947"/>
    <w:rsid w:val="34344C55"/>
    <w:rsid w:val="35FF4203"/>
    <w:rsid w:val="36F64CB5"/>
    <w:rsid w:val="3775CE5B"/>
    <w:rsid w:val="37BF8790"/>
    <w:rsid w:val="37F77B24"/>
    <w:rsid w:val="37F7F47E"/>
    <w:rsid w:val="394F3578"/>
    <w:rsid w:val="39BBAD5C"/>
    <w:rsid w:val="39FFB8D8"/>
    <w:rsid w:val="3BFF3D20"/>
    <w:rsid w:val="3C0D2B3D"/>
    <w:rsid w:val="3D783A95"/>
    <w:rsid w:val="3D8B17BE"/>
    <w:rsid w:val="3DBF2D57"/>
    <w:rsid w:val="3DD7282E"/>
    <w:rsid w:val="3DFF874B"/>
    <w:rsid w:val="3E6F8CA2"/>
    <w:rsid w:val="3EFBD81A"/>
    <w:rsid w:val="3F477FE6"/>
    <w:rsid w:val="3F7FD552"/>
    <w:rsid w:val="3FA90328"/>
    <w:rsid w:val="3FBB95B2"/>
    <w:rsid w:val="3FC5B5CD"/>
    <w:rsid w:val="3FCE508A"/>
    <w:rsid w:val="3FE7455C"/>
    <w:rsid w:val="3FF91997"/>
    <w:rsid w:val="3FFD63DB"/>
    <w:rsid w:val="3FFF5926"/>
    <w:rsid w:val="40F7EF01"/>
    <w:rsid w:val="415F4455"/>
    <w:rsid w:val="43ED9AD2"/>
    <w:rsid w:val="46B9CFE3"/>
    <w:rsid w:val="47CC42C7"/>
    <w:rsid w:val="4B497C05"/>
    <w:rsid w:val="4DA6ABCE"/>
    <w:rsid w:val="4E9BE50E"/>
    <w:rsid w:val="4EC4D0EA"/>
    <w:rsid w:val="4EF535E6"/>
    <w:rsid w:val="4FFD184C"/>
    <w:rsid w:val="4FFE4E7B"/>
    <w:rsid w:val="4FFFBC02"/>
    <w:rsid w:val="4FFFF455"/>
    <w:rsid w:val="51DC23CE"/>
    <w:rsid w:val="52E2348B"/>
    <w:rsid w:val="541F021A"/>
    <w:rsid w:val="5457275C"/>
    <w:rsid w:val="56FF11CF"/>
    <w:rsid w:val="57D7BA92"/>
    <w:rsid w:val="597F2820"/>
    <w:rsid w:val="5A6840DF"/>
    <w:rsid w:val="5BDC1531"/>
    <w:rsid w:val="5BF32890"/>
    <w:rsid w:val="5CD6265E"/>
    <w:rsid w:val="5CFFA8E8"/>
    <w:rsid w:val="5DCFAE5C"/>
    <w:rsid w:val="5DEFD03F"/>
    <w:rsid w:val="5E4F7107"/>
    <w:rsid w:val="5E6C652D"/>
    <w:rsid w:val="5F276C3A"/>
    <w:rsid w:val="5F972E6D"/>
    <w:rsid w:val="5FBEC495"/>
    <w:rsid w:val="5FD8FA1A"/>
    <w:rsid w:val="5FEB89A1"/>
    <w:rsid w:val="5FEF0718"/>
    <w:rsid w:val="5FF3F26D"/>
    <w:rsid w:val="63B3E18B"/>
    <w:rsid w:val="65814411"/>
    <w:rsid w:val="65FA531E"/>
    <w:rsid w:val="675FBF33"/>
    <w:rsid w:val="67EFF126"/>
    <w:rsid w:val="69F77A37"/>
    <w:rsid w:val="6B757F59"/>
    <w:rsid w:val="6C5F8576"/>
    <w:rsid w:val="6CB9536C"/>
    <w:rsid w:val="6CE9DA51"/>
    <w:rsid w:val="6DAF8EC2"/>
    <w:rsid w:val="6DF6C73C"/>
    <w:rsid w:val="6DFF4A80"/>
    <w:rsid w:val="6DFFF15D"/>
    <w:rsid w:val="6E7FA073"/>
    <w:rsid w:val="6EAE0C50"/>
    <w:rsid w:val="6F5F06C9"/>
    <w:rsid w:val="6F7FE7B2"/>
    <w:rsid w:val="6FDD2FDA"/>
    <w:rsid w:val="6FDD566B"/>
    <w:rsid w:val="6FDFD959"/>
    <w:rsid w:val="6FE9E3F8"/>
    <w:rsid w:val="71DFA87F"/>
    <w:rsid w:val="726D7862"/>
    <w:rsid w:val="72B7AFB5"/>
    <w:rsid w:val="73F96406"/>
    <w:rsid w:val="756A1EC9"/>
    <w:rsid w:val="759ECB5A"/>
    <w:rsid w:val="75B13887"/>
    <w:rsid w:val="75D4C7F6"/>
    <w:rsid w:val="75EBD557"/>
    <w:rsid w:val="766BB1BD"/>
    <w:rsid w:val="76FF2E0D"/>
    <w:rsid w:val="77BFA6E7"/>
    <w:rsid w:val="77E7E13E"/>
    <w:rsid w:val="77FA8BA5"/>
    <w:rsid w:val="77FBBB1F"/>
    <w:rsid w:val="77FFEE0D"/>
    <w:rsid w:val="7836AD92"/>
    <w:rsid w:val="784B69E0"/>
    <w:rsid w:val="784C0D6B"/>
    <w:rsid w:val="78F79935"/>
    <w:rsid w:val="7ADBCFEE"/>
    <w:rsid w:val="7AFF8841"/>
    <w:rsid w:val="7AFFC42A"/>
    <w:rsid w:val="7B4B9E18"/>
    <w:rsid w:val="7B7B1500"/>
    <w:rsid w:val="7BA7B2E5"/>
    <w:rsid w:val="7BBF7CD2"/>
    <w:rsid w:val="7BDA307D"/>
    <w:rsid w:val="7BF685E8"/>
    <w:rsid w:val="7BFCA560"/>
    <w:rsid w:val="7C1D1490"/>
    <w:rsid w:val="7CFF4F97"/>
    <w:rsid w:val="7CFF98C3"/>
    <w:rsid w:val="7D7F4EAD"/>
    <w:rsid w:val="7DD79C39"/>
    <w:rsid w:val="7DDC324B"/>
    <w:rsid w:val="7DEBD237"/>
    <w:rsid w:val="7DEFADD9"/>
    <w:rsid w:val="7E23BABF"/>
    <w:rsid w:val="7E32920C"/>
    <w:rsid w:val="7E5BE12B"/>
    <w:rsid w:val="7E6F1A7A"/>
    <w:rsid w:val="7E79B256"/>
    <w:rsid w:val="7EAF6C62"/>
    <w:rsid w:val="7F3DFCF2"/>
    <w:rsid w:val="7F4A0B3E"/>
    <w:rsid w:val="7F5B1139"/>
    <w:rsid w:val="7F5F3789"/>
    <w:rsid w:val="7F69D699"/>
    <w:rsid w:val="7F6F8ADD"/>
    <w:rsid w:val="7F752655"/>
    <w:rsid w:val="7F77FD62"/>
    <w:rsid w:val="7F7B5946"/>
    <w:rsid w:val="7F8B6A66"/>
    <w:rsid w:val="7F9FB7BC"/>
    <w:rsid w:val="7FBA90CA"/>
    <w:rsid w:val="7FCF9128"/>
    <w:rsid w:val="7FD71190"/>
    <w:rsid w:val="7FDBD84E"/>
    <w:rsid w:val="7FDF0A0F"/>
    <w:rsid w:val="7FDF1D9A"/>
    <w:rsid w:val="7FDF56F4"/>
    <w:rsid w:val="7FE58CD0"/>
    <w:rsid w:val="7FEF1F09"/>
    <w:rsid w:val="7FF4E1CF"/>
    <w:rsid w:val="7FF60A0C"/>
    <w:rsid w:val="7FFE48EE"/>
    <w:rsid w:val="7FFFA228"/>
    <w:rsid w:val="7FFFFD72"/>
    <w:rsid w:val="81BF94C3"/>
    <w:rsid w:val="8F6240DF"/>
    <w:rsid w:val="970AE5F1"/>
    <w:rsid w:val="97EF4120"/>
    <w:rsid w:val="9B59891F"/>
    <w:rsid w:val="9BF7AC50"/>
    <w:rsid w:val="9CFE0F92"/>
    <w:rsid w:val="9D976CFB"/>
    <w:rsid w:val="9E7FCA98"/>
    <w:rsid w:val="9FF21142"/>
    <w:rsid w:val="A3EB1C13"/>
    <w:rsid w:val="A5DA7533"/>
    <w:rsid w:val="A5FD57D1"/>
    <w:rsid w:val="A6BEF2AC"/>
    <w:rsid w:val="A75A0092"/>
    <w:rsid w:val="A7FDFD61"/>
    <w:rsid w:val="AB3447B5"/>
    <w:rsid w:val="AD7D6987"/>
    <w:rsid w:val="AF957B2E"/>
    <w:rsid w:val="AFF79A9F"/>
    <w:rsid w:val="AFFEF0EE"/>
    <w:rsid w:val="B4FF8E25"/>
    <w:rsid w:val="B7CB1D80"/>
    <w:rsid w:val="B7DB19E8"/>
    <w:rsid w:val="B9FD886B"/>
    <w:rsid w:val="BBE73B3C"/>
    <w:rsid w:val="BBF77F2E"/>
    <w:rsid w:val="BBFF0737"/>
    <w:rsid w:val="BC7763F7"/>
    <w:rsid w:val="BDFF1F11"/>
    <w:rsid w:val="BEF09E3A"/>
    <w:rsid w:val="BF1E59BF"/>
    <w:rsid w:val="BF226777"/>
    <w:rsid w:val="BFBB51BB"/>
    <w:rsid w:val="BFDF70D6"/>
    <w:rsid w:val="C7550835"/>
    <w:rsid w:val="CACF5152"/>
    <w:rsid w:val="CAFFA4A7"/>
    <w:rsid w:val="CB9FD882"/>
    <w:rsid w:val="CBBBD8A2"/>
    <w:rsid w:val="CDEE4A39"/>
    <w:rsid w:val="CE559FD2"/>
    <w:rsid w:val="CF592A33"/>
    <w:rsid w:val="CFFF24C9"/>
    <w:rsid w:val="D5BB3C42"/>
    <w:rsid w:val="D5C442B2"/>
    <w:rsid w:val="D6FFAD7D"/>
    <w:rsid w:val="D76FA97D"/>
    <w:rsid w:val="D7BC836D"/>
    <w:rsid w:val="D7C729CE"/>
    <w:rsid w:val="D7FF2EF1"/>
    <w:rsid w:val="D9ABBCEB"/>
    <w:rsid w:val="D9DE9F24"/>
    <w:rsid w:val="DBEBC8D4"/>
    <w:rsid w:val="DDEFFFEB"/>
    <w:rsid w:val="DF3E6202"/>
    <w:rsid w:val="DF7C79D8"/>
    <w:rsid w:val="DFAF8A04"/>
    <w:rsid w:val="DFD9D081"/>
    <w:rsid w:val="DFDD29E1"/>
    <w:rsid w:val="DFF718B0"/>
    <w:rsid w:val="E5CE73B8"/>
    <w:rsid w:val="E5FB893A"/>
    <w:rsid w:val="E75AE36A"/>
    <w:rsid w:val="E75BE43F"/>
    <w:rsid w:val="E78DAC29"/>
    <w:rsid w:val="E7F34171"/>
    <w:rsid w:val="E96D9A5A"/>
    <w:rsid w:val="EA8702D0"/>
    <w:rsid w:val="EAFF6504"/>
    <w:rsid w:val="EB5DAAE0"/>
    <w:rsid w:val="EBDBF0A3"/>
    <w:rsid w:val="EBF97AC1"/>
    <w:rsid w:val="EBFF0018"/>
    <w:rsid w:val="EC3FE63F"/>
    <w:rsid w:val="ED3FCF3A"/>
    <w:rsid w:val="ED6E5EEA"/>
    <w:rsid w:val="EEFFE71E"/>
    <w:rsid w:val="EF2D0053"/>
    <w:rsid w:val="EF7F0840"/>
    <w:rsid w:val="EFEDE82A"/>
    <w:rsid w:val="EFFFFBCE"/>
    <w:rsid w:val="F0CE6BC9"/>
    <w:rsid w:val="F1FC3019"/>
    <w:rsid w:val="F4ED7140"/>
    <w:rsid w:val="F6DF01DE"/>
    <w:rsid w:val="F717513C"/>
    <w:rsid w:val="F7BF32E2"/>
    <w:rsid w:val="F7DF5098"/>
    <w:rsid w:val="F7EB4321"/>
    <w:rsid w:val="F7FFD80E"/>
    <w:rsid w:val="F8AFA760"/>
    <w:rsid w:val="F9BF55E0"/>
    <w:rsid w:val="F9BF61D0"/>
    <w:rsid w:val="F9FE21F3"/>
    <w:rsid w:val="FAFF4820"/>
    <w:rsid w:val="FB5D415E"/>
    <w:rsid w:val="FBF708A4"/>
    <w:rsid w:val="FBF7F1D4"/>
    <w:rsid w:val="FBFD4F29"/>
    <w:rsid w:val="FCBF2D23"/>
    <w:rsid w:val="FCFF6E91"/>
    <w:rsid w:val="FD7FFF70"/>
    <w:rsid w:val="FDB9DA06"/>
    <w:rsid w:val="FDBDC1D9"/>
    <w:rsid w:val="FDBF090D"/>
    <w:rsid w:val="FDD19749"/>
    <w:rsid w:val="FDDFFBA4"/>
    <w:rsid w:val="FDEDF203"/>
    <w:rsid w:val="FDEF1071"/>
    <w:rsid w:val="FDEF9FF8"/>
    <w:rsid w:val="FDF6B126"/>
    <w:rsid w:val="FDFF1A2E"/>
    <w:rsid w:val="FE29DEDE"/>
    <w:rsid w:val="FE5DA786"/>
    <w:rsid w:val="FE7B5862"/>
    <w:rsid w:val="FE7D29E7"/>
    <w:rsid w:val="FE7E4D81"/>
    <w:rsid w:val="FEB3F145"/>
    <w:rsid w:val="FEEB86C2"/>
    <w:rsid w:val="FEFA8549"/>
    <w:rsid w:val="FEFF4C73"/>
    <w:rsid w:val="FEFF751D"/>
    <w:rsid w:val="FEFFAD0B"/>
    <w:rsid w:val="FF5A7D45"/>
    <w:rsid w:val="FF7B6ABF"/>
    <w:rsid w:val="FF9735C0"/>
    <w:rsid w:val="FFB9181C"/>
    <w:rsid w:val="FFBB725E"/>
    <w:rsid w:val="FFBDDC73"/>
    <w:rsid w:val="FFBECFC6"/>
    <w:rsid w:val="FFBF3139"/>
    <w:rsid w:val="FFEC3EE1"/>
    <w:rsid w:val="FFEEB78B"/>
    <w:rsid w:val="FFEF261E"/>
    <w:rsid w:val="FFF6D69D"/>
    <w:rsid w:val="FFF71D4D"/>
    <w:rsid w:val="FFF73F28"/>
    <w:rsid w:val="FFFD4ED6"/>
    <w:rsid w:val="FFFD5453"/>
    <w:rsid w:val="FFFF080D"/>
    <w:rsid w:val="FFFF196F"/>
    <w:rsid w:val="FFFF6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cs="Times New Roman"/>
      <w:kern w:val="0"/>
      <w:sz w:val="24"/>
      <w:lang w:val="en-US" w:eastAsia="zh-CN" w:bidi="ar"/>
    </w:rPr>
  </w:style>
  <w:style w:type="table" w:styleId="7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Subtle Emphasis"/>
    <w:qFormat/>
    <w:uiPriority w:val="19"/>
    <w:rPr>
      <w:rFonts w:ascii="Times New Roman" w:hAnsi="Times New Roman" w:eastAsia="宋体" w:cs="Times New Roman"/>
      <w:i/>
      <w:iCs/>
      <w:color w:val="404040"/>
    </w:rPr>
  </w:style>
  <w:style w:type="paragraph" w:customStyle="1" w:styleId="10">
    <w:name w:val="法条"/>
    <w:basedOn w:val="1"/>
    <w:qFormat/>
    <w:uiPriority w:val="99"/>
    <w:pPr>
      <w:numPr>
        <w:ilvl w:val="0"/>
        <w:numId w:val="1"/>
      </w:numPr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2633</Words>
  <Characters>2861</Characters>
  <Lines>0</Lines>
  <Paragraphs>0</Paragraphs>
  <TotalTime>1</TotalTime>
  <ScaleCrop>false</ScaleCrop>
  <LinksUpToDate>false</LinksUpToDate>
  <CharactersWithSpaces>3144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2025-03-02T05:17:00Z</dcterms:created>
  <dc:creator>业务管理员</dc:creator>
  <cp:lastModifiedBy>MYQ</cp:lastModifiedBy>
  <dcterms:modified xsi:type="dcterms:W3CDTF">2025-08-06T02:38:06Z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eyJoZGlkIjoiODQ0ZmEzZDM0MGQ5NzE3MjA4MjY4MmNkOWY5ODJhYWMiLCJ1c2VySWQiOiIxMjU3NjkwMDE0In0=</vt:lpwstr>
  </property>
  <property fmtid="{D5CDD505-2E9C-101B-9397-08002B2CF9AE}" pid="4" name="ICV">
    <vt:lpwstr>E3DE784E78FD40CF92E2B3F19769AC17_13</vt:lpwstr>
  </property>
</Properties>
</file>