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12F8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 w14:paraId="301CC23F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太原市住房公积金缴存额调整清册</w:t>
      </w:r>
    </w:p>
    <w:p w14:paraId="2C604E55">
      <w:pPr>
        <w:rPr>
          <w:rFonts w:hint="eastAsia" w:ascii="仿宋" w:hAnsi="仿宋" w:eastAsia="仿宋"/>
          <w:szCs w:val="21"/>
        </w:rPr>
      </w:pPr>
    </w:p>
    <w:p w14:paraId="387B9594">
      <w:pPr>
        <w:rPr>
          <w:rFonts w:hint="eastAsia" w:ascii="仿宋" w:hAnsi="仿宋" w:eastAsia="仿宋"/>
          <w:spacing w:val="-42"/>
          <w:szCs w:val="21"/>
        </w:rPr>
      </w:pPr>
      <w:r>
        <w:rPr>
          <w:rFonts w:hint="eastAsia" w:ascii="仿宋" w:hAnsi="仿宋" w:eastAsia="仿宋"/>
          <w:szCs w:val="21"/>
        </w:rPr>
        <w:t>单位名称(章)：                           单位账号：                  年    月    日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28"/>
        <w:gridCol w:w="1228"/>
        <w:gridCol w:w="2093"/>
        <w:gridCol w:w="1936"/>
        <w:gridCol w:w="1936"/>
      </w:tblGrid>
      <w:tr w14:paraId="2DC6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9" w:type="dxa"/>
            <w:vMerge w:val="restart"/>
            <w:noWrap w:val="0"/>
            <w:vAlign w:val="center"/>
          </w:tcPr>
          <w:p w14:paraId="66829348">
            <w:pPr>
              <w:tabs>
                <w:tab w:val="left" w:pos="7650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 w14:paraId="3C4910D0">
            <w:pPr>
              <w:tabs>
                <w:tab w:val="left" w:pos="7650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职工账号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 w14:paraId="08C99B16">
            <w:pPr>
              <w:tabs>
                <w:tab w:val="left" w:pos="7650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职工姓名</w:t>
            </w:r>
          </w:p>
        </w:tc>
        <w:tc>
          <w:tcPr>
            <w:tcW w:w="2093" w:type="dxa"/>
            <w:vMerge w:val="restart"/>
            <w:noWrap w:val="0"/>
            <w:vAlign w:val="center"/>
          </w:tcPr>
          <w:p w14:paraId="2D09986B">
            <w:pPr>
              <w:tabs>
                <w:tab w:val="left" w:pos="7650"/>
              </w:tabs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证件号码</w:t>
            </w:r>
          </w:p>
        </w:tc>
        <w:tc>
          <w:tcPr>
            <w:tcW w:w="1936" w:type="dxa"/>
            <w:vMerge w:val="restart"/>
            <w:noWrap w:val="0"/>
            <w:vAlign w:val="top"/>
          </w:tcPr>
          <w:p w14:paraId="6228CC59">
            <w:pPr>
              <w:tabs>
                <w:tab w:val="left" w:pos="7650"/>
              </w:tabs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调整前</w:t>
            </w:r>
          </w:p>
          <w:p w14:paraId="22E8C13A">
            <w:pPr>
              <w:tabs>
                <w:tab w:val="left" w:pos="7650"/>
              </w:tabs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月缴存额（元）</w:t>
            </w:r>
          </w:p>
        </w:tc>
        <w:tc>
          <w:tcPr>
            <w:tcW w:w="1936" w:type="dxa"/>
            <w:vMerge w:val="restart"/>
            <w:noWrap w:val="0"/>
            <w:vAlign w:val="top"/>
          </w:tcPr>
          <w:p w14:paraId="2EC55035">
            <w:pPr>
              <w:tabs>
                <w:tab w:val="left" w:pos="7650"/>
              </w:tabs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调整后</w:t>
            </w:r>
          </w:p>
          <w:p w14:paraId="0F0C796B">
            <w:pPr>
              <w:tabs>
                <w:tab w:val="left" w:pos="7650"/>
              </w:tabs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月缴存额（元）</w:t>
            </w:r>
          </w:p>
        </w:tc>
      </w:tr>
      <w:tr w14:paraId="0558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39" w:type="dxa"/>
            <w:vMerge w:val="continue"/>
            <w:noWrap w:val="0"/>
            <w:vAlign w:val="top"/>
          </w:tcPr>
          <w:p w14:paraId="001B65E0">
            <w:pPr>
              <w:tabs>
                <w:tab w:val="left" w:pos="7650"/>
              </w:tabs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2D935D88">
            <w:pPr>
              <w:tabs>
                <w:tab w:val="left" w:pos="7650"/>
              </w:tabs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5B5DD146">
            <w:pPr>
              <w:tabs>
                <w:tab w:val="left" w:pos="7650"/>
              </w:tabs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vMerge w:val="continue"/>
            <w:noWrap w:val="0"/>
            <w:vAlign w:val="top"/>
          </w:tcPr>
          <w:p w14:paraId="2EE52C73">
            <w:pPr>
              <w:tabs>
                <w:tab w:val="left" w:pos="7650"/>
              </w:tabs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top"/>
          </w:tcPr>
          <w:p w14:paraId="7E7266F0">
            <w:pPr>
              <w:tabs>
                <w:tab w:val="left" w:pos="7650"/>
              </w:tabs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top"/>
          </w:tcPr>
          <w:p w14:paraId="241F91F5">
            <w:pPr>
              <w:tabs>
                <w:tab w:val="left" w:pos="7650"/>
              </w:tabs>
              <w:rPr>
                <w:rFonts w:hint="eastAsia" w:ascii="仿宋" w:hAnsi="仿宋" w:eastAsia="仿宋"/>
                <w:szCs w:val="21"/>
              </w:rPr>
            </w:pPr>
          </w:p>
        </w:tc>
      </w:tr>
      <w:tr w14:paraId="51C6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4C90E0A3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456A40CA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E9BC067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2CDB1752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50B5FB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4C17717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07DF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491990CF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331A767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99B113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0A33731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61CBAE1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3B31A7DD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06EA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692B4CD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83F958C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1E67A2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1210E40C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54E94C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45F553F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1E62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1667618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B8186D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4D59B4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468EF6E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43E4B8A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67415E5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7D00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0FE8133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205AC6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0D46C6F0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2C3AE15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27F55A9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EBD1EBF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526F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55B169A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0E77D25C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1F3F12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249445D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25EE6FA7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41E136D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2B93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0EACA6B3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DB6019F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CAC1F6D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3B418E8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68B39E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115C9D66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5A68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6B861C3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78873F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F1C836C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188FA466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4DAD5C4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4758D04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7767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23C9597F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D3F76D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78E4A5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595569A3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5B7F547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6896FF9F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3D76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2D01B133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928C96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71AA1DA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682733A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14D71FF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68519FD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1D46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479E379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FB4A3BD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045179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645F6CF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63BA3D7A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3624934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0CDC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0BFFA3E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497439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822E26A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4F4B6AC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606BAFB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3F42173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6267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3F6E6DCA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5303E6E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F73A9C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71D3F7C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875E3FA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35D027B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63F8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42E95593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EF3FB7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DBAA3CC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3A7F5673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3C1E40E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2180E42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5573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3BD0778C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54BFC0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39AB95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790A80B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1378BC6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53B374D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044D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061B2A2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0D91EE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5F9BC74D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3E121246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0708402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7190983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07E8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2BE5C09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804C016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0C1EC284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45F54C6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310D3029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61E6ACF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37F1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43EC438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0B08912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7182D0C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4FB3475A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02F64B08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21AD646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1C75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top"/>
          </w:tcPr>
          <w:p w14:paraId="69299FE5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3045D2BB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2FB6467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3DFC5F00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43740B5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3FF632BE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3BCF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2"/>
            <w:noWrap w:val="0"/>
            <w:vAlign w:val="top"/>
          </w:tcPr>
          <w:p w14:paraId="2AB236D2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合计：       人</w:t>
            </w:r>
          </w:p>
        </w:tc>
        <w:tc>
          <w:tcPr>
            <w:tcW w:w="1228" w:type="dxa"/>
            <w:noWrap w:val="0"/>
            <w:vAlign w:val="top"/>
          </w:tcPr>
          <w:p w14:paraId="4228B83C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93" w:type="dxa"/>
            <w:noWrap w:val="0"/>
            <w:vAlign w:val="top"/>
          </w:tcPr>
          <w:p w14:paraId="7F796F71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5DCD1D2C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36" w:type="dxa"/>
            <w:noWrap w:val="0"/>
            <w:vAlign w:val="top"/>
          </w:tcPr>
          <w:p w14:paraId="5DC46492">
            <w:pPr>
              <w:tabs>
                <w:tab w:val="left" w:pos="7650"/>
              </w:tabs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3EBA33D1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归集综合岗(签章):                                    专管员签字:</w:t>
      </w:r>
    </w:p>
    <w:p w14:paraId="34E5BB24">
      <w:pPr>
        <w:rPr>
          <w:rFonts w:hint="eastAsia" w:ascii="仿宋" w:hAnsi="仿宋" w:eastAsia="仿宋"/>
          <w:szCs w:val="21"/>
        </w:rPr>
      </w:pPr>
    </w:p>
    <w:p w14:paraId="5C90BE88">
      <w:pPr>
        <w:ind w:left="945" w:hanging="945" w:hangingChars="45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备注：1、调整人数在5人以下（不含5人）时，需提供上述表格的纸质版（一式两联）；</w:t>
      </w:r>
    </w:p>
    <w:p w14:paraId="52E17E7C">
      <w:pPr>
        <w:ind w:left="945" w:leftChars="300" w:hanging="315" w:hangingChars="150"/>
        <w:rPr>
          <w:rFonts w:hint="eastAsia" w:ascii="仿宋" w:hAnsi="仿宋" w:eastAsia="仿宋" w:cs="Tahoma"/>
          <w:szCs w:val="21"/>
          <w:shd w:val="clear" w:color="auto" w:fill="FFFFFF"/>
        </w:rPr>
      </w:pPr>
      <w:r>
        <w:rPr>
          <w:rFonts w:hint="eastAsia" w:ascii="仿宋" w:hAnsi="仿宋" w:eastAsia="仿宋"/>
          <w:szCs w:val="21"/>
        </w:rPr>
        <w:t>2、调整人数在5人以上（含5人）时，除提供上述表格纸质版外，还须提供电子版，格式为</w:t>
      </w:r>
      <w:r>
        <w:rPr>
          <w:rFonts w:hint="eastAsia" w:ascii="仿宋" w:hAnsi="仿宋" w:eastAsia="仿宋" w:cs="Tahoma"/>
          <w:szCs w:val="21"/>
          <w:shd w:val="clear" w:color="auto" w:fill="FFFFFF"/>
        </w:rPr>
        <w:t>txt、xls、xlsx（txt时，必须以制表符分隔）；</w:t>
      </w:r>
    </w:p>
    <w:p w14:paraId="081CD57A">
      <w:pPr>
        <w:ind w:left="945" w:hanging="945" w:hangingChars="45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 w:cs="Tahoma"/>
          <w:szCs w:val="21"/>
          <w:shd w:val="clear" w:color="auto" w:fill="FFFFFF"/>
        </w:rPr>
        <w:t xml:space="preserve">      2、</w:t>
      </w:r>
      <w:r>
        <w:rPr>
          <w:rFonts w:hint="eastAsia" w:ascii="仿宋" w:hAnsi="仿宋" w:eastAsia="仿宋"/>
          <w:szCs w:val="21"/>
        </w:rPr>
        <w:t>电子版表头顺序为：</w:t>
      </w:r>
      <w:r>
        <w:rPr>
          <w:rFonts w:hint="eastAsia" w:ascii="仿宋" w:hAnsi="仿宋" w:eastAsia="仿宋" w:cs="Tahoma"/>
          <w:szCs w:val="21"/>
          <w:shd w:val="clear" w:color="auto" w:fill="FFFFFF"/>
        </w:rPr>
        <w:t>序号、职工账号、职工姓名、身份证号、调整后月缴存额，顺序不可打乱；</w:t>
      </w:r>
      <w:r>
        <w:rPr>
          <w:rFonts w:hint="eastAsia" w:ascii="仿宋" w:hAnsi="仿宋" w:eastAsia="仿宋"/>
          <w:szCs w:val="21"/>
        </w:rPr>
        <w:t xml:space="preserve"> </w:t>
      </w:r>
    </w:p>
    <w:p w14:paraId="201B9113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3、</w:t>
      </w:r>
      <w:r>
        <w:rPr>
          <w:rFonts w:hint="eastAsia" w:ascii="仿宋" w:hAnsi="仿宋" w:eastAsia="仿宋" w:cs="Tahoma"/>
          <w:szCs w:val="21"/>
          <w:shd w:val="clear" w:color="auto" w:fill="FFFFFF"/>
        </w:rPr>
        <w:t>所有列必须填入内容，不可为空。</w:t>
      </w:r>
    </w:p>
    <w:p w14:paraId="68C76F80">
      <w:r>
        <w:rPr>
          <w:rFonts w:hint="eastAsia" w:ascii="仿宋" w:hAnsi="仿宋" w:eastAsia="仿宋"/>
          <w:szCs w:val="21"/>
        </w:rPr>
        <w:t>注：此表一式两联，分理处/管理部、缴存单位各留存一联。</w:t>
      </w: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2025-07-02T08:04:17Z</dcterms:created>
  <dc:creator>Administrator</dc:creator>
  <cp:lastModifiedBy>Administrator</cp:lastModifiedBy>
  <dcterms:modified xsi:type="dcterms:W3CDTF">2025-07-02T08:09:13Z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eyJoZGlkIjoiNWQ2MTgxOWIzNDQwOWUyYmY3MTRlNTM1NzA3MzU2ZGQifQ==</vt:lpwstr>
  </property>
  <property fmtid="{D5CDD505-2E9C-101B-9397-08002B2CF9AE}" pid="4" name="ICV">
    <vt:lpwstr>554CF735B9DF49EE9A031B6B021F0B00_12</vt:lpwstr>
  </property>
</Properties>
</file>