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086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文星标宋" w:eastAsia="仿宋_GB2312"/>
        </w:rPr>
      </w:pPr>
    </w:p>
    <w:p w14:paraId="61EDA06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文星标宋" w:eastAsia="仿宋_GB2312"/>
          <w:color w:val="auto"/>
        </w:rPr>
      </w:pPr>
    </w:p>
    <w:p w14:paraId="3143017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olor w:val="auto"/>
        </w:rPr>
      </w:pPr>
    </w:p>
    <w:p w14:paraId="644D5B9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rPr>
        <w:t>鲁人社字</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52</w:t>
      </w:r>
      <w:r>
        <w:rPr>
          <w:rFonts w:hint="eastAsia" w:ascii="仿宋_GB2312" w:hAnsi="仿宋_GB2312" w:eastAsia="仿宋_GB2312" w:cs="仿宋_GB2312"/>
          <w:color w:val="auto"/>
          <w:szCs w:val="32"/>
        </w:rPr>
        <w:t>号</w:t>
      </w:r>
    </w:p>
    <w:p w14:paraId="6F75FB0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olor w:val="auto"/>
        </w:rPr>
      </w:pPr>
      <w:bookmarkStart w:id="0" w:name="_GoBack"/>
      <w:bookmarkEnd w:id="0"/>
    </w:p>
    <w:p w14:paraId="0B579E4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olor w:val="auto"/>
          <w:kern w:val="2"/>
        </w:rPr>
      </w:pPr>
    </w:p>
    <w:p w14:paraId="6AE29A2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2"/>
          <w:sz w:val="44"/>
          <w:szCs w:val="24"/>
          <w:lang w:val="en-US" w:eastAsia="zh-CN"/>
        </w:rPr>
      </w:pPr>
      <w:r>
        <w:rPr>
          <w:rFonts w:hint="eastAsia" w:ascii="方正小标宋简体" w:hAnsi="方正小标宋简体" w:eastAsia="方正小标宋简体" w:cs="方正小标宋简体"/>
          <w:color w:val="auto"/>
          <w:kern w:val="2"/>
          <w:sz w:val="44"/>
          <w:szCs w:val="24"/>
          <w:lang w:eastAsia="zh-CN"/>
        </w:rPr>
        <w:t>山东省人力资源和社会保障厅等</w:t>
      </w:r>
      <w:r>
        <w:rPr>
          <w:rFonts w:hint="eastAsia" w:ascii="方正小标宋简体" w:hAnsi="方正小标宋简体" w:eastAsia="方正小标宋简体" w:cs="方正小标宋简体"/>
          <w:color w:val="auto"/>
          <w:kern w:val="2"/>
          <w:sz w:val="44"/>
          <w:szCs w:val="24"/>
          <w:lang w:val="en-US" w:eastAsia="zh-CN"/>
        </w:rPr>
        <w:t>4部门</w:t>
      </w:r>
    </w:p>
    <w:p w14:paraId="5D8CC75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_GB2312" w:eastAsia="方正小标宋简体" w:cs="方正小标宋简体"/>
          <w:color w:val="auto"/>
          <w:kern w:val="2"/>
          <w:sz w:val="44"/>
          <w:szCs w:val="24"/>
        </w:rPr>
      </w:pPr>
      <w:r>
        <w:rPr>
          <w:rFonts w:hint="eastAsia" w:ascii="方正小标宋简体" w:hAnsi="方正小标宋简体" w:eastAsia="方正小标宋简体" w:cs="方正小标宋简体"/>
          <w:color w:val="auto"/>
          <w:kern w:val="2"/>
          <w:sz w:val="44"/>
          <w:szCs w:val="24"/>
        </w:rPr>
        <w:t>关于</w:t>
      </w:r>
      <w:r>
        <w:rPr>
          <w:rFonts w:hint="eastAsia" w:ascii="方正小标宋简体" w:hAnsi="方正小标宋简体" w:eastAsia="方正小标宋简体" w:cs="方正小标宋简体"/>
          <w:color w:val="auto"/>
          <w:kern w:val="2"/>
          <w:sz w:val="44"/>
          <w:szCs w:val="24"/>
          <w:lang w:eastAsia="zh-CN"/>
        </w:rPr>
        <w:t>落实</w:t>
      </w:r>
      <w:r>
        <w:rPr>
          <w:rFonts w:hint="eastAsia" w:ascii="方正小标宋简体" w:hAnsi="方正小标宋简体" w:eastAsia="方正小标宋简体" w:cs="方正小标宋简体"/>
          <w:color w:val="auto"/>
          <w:kern w:val="2"/>
          <w:sz w:val="44"/>
          <w:szCs w:val="24"/>
        </w:rPr>
        <w:t>失业保险稳岗</w:t>
      </w:r>
      <w:r>
        <w:rPr>
          <w:rFonts w:hint="eastAsia" w:ascii="方正小标宋简体" w:hAnsi="方正小标宋简体" w:eastAsia="方正小标宋简体" w:cs="方正小标宋简体"/>
          <w:color w:val="auto"/>
          <w:kern w:val="2"/>
          <w:sz w:val="44"/>
          <w:szCs w:val="24"/>
          <w:lang w:eastAsia="zh-CN"/>
        </w:rPr>
        <w:t>惠民</w:t>
      </w:r>
      <w:r>
        <w:rPr>
          <w:rFonts w:hint="eastAsia" w:ascii="方正小标宋简体" w:hAnsi="方正小标宋简体" w:eastAsia="方正小标宋简体" w:cs="方正小标宋简体"/>
          <w:color w:val="auto"/>
          <w:kern w:val="2"/>
          <w:sz w:val="44"/>
          <w:szCs w:val="24"/>
        </w:rPr>
        <w:t>政策</w:t>
      </w:r>
      <w:r>
        <w:rPr>
          <w:rFonts w:hint="eastAsia" w:ascii="方正小标宋简体" w:hAnsi="方正小标宋简体" w:eastAsia="方正小标宋简体" w:cs="方正小标宋简体"/>
          <w:color w:val="auto"/>
          <w:kern w:val="2"/>
          <w:sz w:val="44"/>
          <w:szCs w:val="24"/>
          <w:lang w:eastAsia="zh-CN"/>
        </w:rPr>
        <w:t>措施</w:t>
      </w:r>
      <w:r>
        <w:rPr>
          <w:rFonts w:hint="eastAsia" w:ascii="方正小标宋简体" w:hAnsi="方正小标宋简体" w:eastAsia="方正小标宋简体" w:cs="方正小标宋简体"/>
          <w:color w:val="auto"/>
          <w:kern w:val="2"/>
          <w:sz w:val="44"/>
          <w:szCs w:val="24"/>
        </w:rPr>
        <w:t>的通知</w:t>
      </w:r>
    </w:p>
    <w:p w14:paraId="1175DFE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kern w:val="2"/>
        </w:rPr>
      </w:pPr>
    </w:p>
    <w:p w14:paraId="61AFB0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0"/>
        <w:jc w:val="both"/>
        <w:textAlignment w:val="auto"/>
        <w:rPr>
          <w:rFonts w:hint="eastAsia" w:ascii="仿宋_GB2312" w:hAnsi="仿宋_GB2312" w:eastAsia="仿宋_GB2312" w:cs="仿宋_GB2312"/>
          <w:i w:val="0"/>
          <w:caps w:val="0"/>
          <w:color w:val="auto"/>
          <w:spacing w:val="0"/>
          <w:kern w:val="2"/>
          <w:sz w:val="32"/>
          <w:szCs w:val="32"/>
        </w:rPr>
      </w:pPr>
      <w:r>
        <w:rPr>
          <w:rFonts w:hint="eastAsia" w:ascii="仿宋_GB2312" w:hAnsi="仿宋_GB2312" w:eastAsia="仿宋_GB2312" w:cs="仿宋_GB2312"/>
          <w:i w:val="0"/>
          <w:caps w:val="0"/>
          <w:color w:val="auto"/>
          <w:spacing w:val="0"/>
          <w:kern w:val="2"/>
          <w:sz w:val="32"/>
          <w:szCs w:val="32"/>
          <w:lang w:val="en-US" w:eastAsia="zh-CN" w:bidi="ar"/>
        </w:rPr>
        <w:t>各市人民政府：</w:t>
      </w:r>
    </w:p>
    <w:p w14:paraId="535792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kern w:val="2"/>
          <w:sz w:val="32"/>
          <w:szCs w:val="32"/>
        </w:rPr>
      </w:pPr>
      <w:r>
        <w:rPr>
          <w:rFonts w:hint="eastAsia" w:ascii="仿宋_GB2312" w:hAnsi="仿宋_GB2312" w:eastAsia="仿宋_GB2312" w:cs="仿宋_GB2312"/>
          <w:i w:val="0"/>
          <w:caps w:val="0"/>
          <w:color w:val="auto"/>
          <w:spacing w:val="0"/>
          <w:kern w:val="2"/>
          <w:sz w:val="32"/>
          <w:szCs w:val="32"/>
          <w:lang w:val="en-US" w:eastAsia="zh-CN" w:bidi="ar"/>
        </w:rPr>
        <w:t>为贯彻落实《人力资源社会保障部财政部税务总局关于延续实施失业保险稳岗惠民政策措施的通知》（人社部发〔2025〕18号），经省政府同意，现就落实失业保险稳岗惠民政策措施有关事项通知如下：</w:t>
      </w:r>
    </w:p>
    <w:p w14:paraId="1A5D93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黑体" w:eastAsia="黑体" w:cs="黑体"/>
          <w:i w:val="0"/>
          <w:caps w:val="0"/>
          <w:color w:val="auto"/>
          <w:spacing w:val="0"/>
          <w:kern w:val="2"/>
          <w:sz w:val="32"/>
          <w:szCs w:val="32"/>
          <w:lang w:val="en-US" w:eastAsia="zh-CN" w:bidi="ar"/>
        </w:rPr>
      </w:pPr>
      <w:r>
        <w:rPr>
          <w:rFonts w:hint="eastAsia" w:ascii="黑体" w:hAnsi="黑体" w:eastAsia="黑体" w:cs="黑体"/>
          <w:i w:val="0"/>
          <w:caps w:val="0"/>
          <w:color w:val="auto"/>
          <w:spacing w:val="0"/>
          <w:kern w:val="2"/>
          <w:sz w:val="32"/>
          <w:szCs w:val="32"/>
          <w:lang w:val="en-US" w:eastAsia="zh-CN" w:bidi="ar"/>
        </w:rPr>
        <w:t>一、延续实施稳岗返还政策</w:t>
      </w:r>
    </w:p>
    <w:p w14:paraId="19A63B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kern w:val="2"/>
          <w:sz w:val="32"/>
          <w:szCs w:val="32"/>
        </w:rPr>
      </w:pPr>
      <w:r>
        <w:rPr>
          <w:rFonts w:hint="eastAsia" w:ascii="楷体_GB2312" w:hAnsi="楷体_GB2312" w:eastAsia="楷体_GB2312" w:cs="楷体_GB2312"/>
          <w:i w:val="0"/>
          <w:caps w:val="0"/>
          <w:color w:val="auto"/>
          <w:spacing w:val="0"/>
          <w:kern w:val="2"/>
          <w:sz w:val="32"/>
          <w:szCs w:val="32"/>
          <w:lang w:val="en-US" w:eastAsia="zh-CN" w:bidi="ar"/>
        </w:rPr>
        <w:t>（一）顶格实施稳岗返还政策。</w:t>
      </w:r>
      <w:r>
        <w:rPr>
          <w:rFonts w:hint="eastAsia" w:ascii="仿宋_GB2312" w:hAnsi="仿宋_GB2312" w:eastAsia="仿宋_GB2312" w:cs="仿宋_GB2312"/>
          <w:i w:val="0"/>
          <w:caps w:val="0"/>
          <w:color w:val="auto"/>
          <w:spacing w:val="0"/>
          <w:kern w:val="2"/>
          <w:sz w:val="32"/>
          <w:szCs w:val="32"/>
          <w:lang w:val="en-US" w:eastAsia="zh-CN" w:bidi="ar"/>
        </w:rPr>
        <w:t>参保企业足额缴纳失业保险费12个月以上，上年度未裁员或裁员率不高于上年度全国城镇调查失业率控制目标（5.5%），30人（含）以下的参保企业裁员率不高于20%的，可以申请失业保险稳岗返还。大型企业按企业及其职工上年度实际缴纳失业保险费（不含补缴历年欠费及滞纳金）的30%返还，中小微企业按60%返还。稳岗返还资金可用于职工生活补助、缴纳社会保险费、转岗培训、技能提升培训等稳定就业岗位以及降低生产经营成本支出。社会团体、基金会、社会服务机构、律师事务所、会计师事务所、以单位形式参保的个体工商户参照中小微企业政策执行。要畅通稳岗资金发放渠道，继续采用“免申即享”经办模式，开展后台数据比对，通过短信等方式告知企业，经其确认后发放稳岗返还资金；对没有对公账户的小微企业，可将资金直接返还至当地税务部门协助提供的其缴纳社会保险费的账户。执行期限至2025年12月31日。</w:t>
      </w:r>
    </w:p>
    <w:p w14:paraId="468A22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仿宋_GB2312" w:hAnsi="仿宋_GB2312" w:eastAsia="仿宋_GB2312" w:cs="仿宋_GB2312"/>
          <w:i w:val="0"/>
          <w:caps w:val="0"/>
          <w:color w:val="auto"/>
          <w:spacing w:val="0"/>
          <w:kern w:val="2"/>
          <w:sz w:val="32"/>
          <w:szCs w:val="32"/>
          <w:lang w:val="en-US"/>
        </w:rPr>
      </w:pPr>
      <w:r>
        <w:rPr>
          <w:rFonts w:hint="eastAsia" w:ascii="楷体_GB2312" w:hAnsi="楷体_GB2312" w:eastAsia="楷体_GB2312" w:cs="楷体_GB2312"/>
          <w:i w:val="0"/>
          <w:caps w:val="0"/>
          <w:color w:val="auto"/>
          <w:spacing w:val="0"/>
          <w:kern w:val="2"/>
          <w:sz w:val="32"/>
          <w:szCs w:val="32"/>
          <w:lang w:val="en-US" w:eastAsia="zh-CN" w:bidi="ar"/>
        </w:rPr>
        <w:t>（二）进一步规范劳务派遣单位享受稳岗返还政策。</w:t>
      </w:r>
      <w:r>
        <w:rPr>
          <w:rFonts w:hint="eastAsia" w:ascii="仿宋_GB2312" w:hAnsi="仿宋_GB2312" w:eastAsia="仿宋_GB2312" w:cs="仿宋_GB2312"/>
          <w:i w:val="0"/>
          <w:caps w:val="0"/>
          <w:color w:val="auto"/>
          <w:spacing w:val="0"/>
          <w:kern w:val="2"/>
          <w:sz w:val="32"/>
          <w:szCs w:val="32"/>
          <w:lang w:val="en-US" w:eastAsia="zh-CN" w:bidi="ar"/>
        </w:rPr>
        <w:t>劳务派遣单位按照《山东省人力资源和社会保障厅等4部门关于做好失业保险援企稳岗政策落实工作的通知》（鲁人社发〔2024〕8号）执行稳岗返还政策。申请稳岗返还资金时须向经办机构提交上年度稳岗返还资金使用情况说明、自有员工部分（含依法开展承揽、外包业务招用的劳动者）稳岗返还资金使用凭证、被派遣劳动者的用工单位稳岗返还资金使用凭证。发现劳务派遣单位未按规定使用上年度稳岗返还资金的，要求其退回未按规定使用部分，提交退回至失业保险基金账户的银行转账凭证，并取消本年度申领资格。</w:t>
      </w:r>
    </w:p>
    <w:p w14:paraId="0AF906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366"/>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kern w:val="2"/>
          <w:sz w:val="32"/>
          <w:szCs w:val="32"/>
          <w:lang w:val="en-US" w:eastAsia="zh-CN" w:bidi="ar"/>
        </w:rPr>
      </w:pPr>
      <w:r>
        <w:rPr>
          <w:rFonts w:hint="eastAsia" w:ascii="黑体" w:hAnsi="黑体" w:eastAsia="黑体" w:cs="黑体"/>
          <w:i w:val="0"/>
          <w:caps w:val="0"/>
          <w:color w:val="auto"/>
          <w:spacing w:val="0"/>
          <w:kern w:val="2"/>
          <w:sz w:val="32"/>
          <w:szCs w:val="32"/>
          <w:lang w:val="en-US" w:eastAsia="zh-CN" w:bidi="ar"/>
        </w:rPr>
        <w:t>二、延续实施技能提升补贴政策</w:t>
      </w:r>
    </w:p>
    <w:p w14:paraId="6442F8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仿宋_GB2312" w:hAnsi="仿宋_GB2312" w:eastAsia="仿宋_GB2312" w:cs="仿宋_GB2312"/>
          <w:i w:val="0"/>
          <w:caps w:val="0"/>
          <w:color w:val="auto"/>
          <w:spacing w:val="0"/>
          <w:kern w:val="2"/>
          <w:sz w:val="32"/>
          <w:szCs w:val="32"/>
          <w:lang w:val="en-US" w:eastAsia="zh-CN" w:bidi="ar"/>
        </w:rPr>
      </w:pPr>
      <w:r>
        <w:rPr>
          <w:rFonts w:hint="eastAsia" w:ascii="楷体_GB2312" w:hAnsi="楷体_GB2312" w:eastAsia="楷体_GB2312" w:cs="楷体_GB2312"/>
          <w:i w:val="0"/>
          <w:caps w:val="0"/>
          <w:color w:val="auto"/>
          <w:spacing w:val="0"/>
          <w:kern w:val="2"/>
          <w:sz w:val="32"/>
          <w:szCs w:val="32"/>
          <w:lang w:val="en-US" w:eastAsia="zh-CN" w:bidi="ar"/>
        </w:rPr>
        <w:t>（三）拓宽技能提升补贴受益范围。</w:t>
      </w:r>
      <w:r>
        <w:rPr>
          <w:rFonts w:hint="eastAsia" w:ascii="仿宋_GB2312" w:hAnsi="仿宋_GB2312" w:eastAsia="仿宋_GB2312" w:cs="仿宋_GB2312"/>
          <w:i w:val="0"/>
          <w:caps w:val="0"/>
          <w:color w:val="auto"/>
          <w:spacing w:val="0"/>
          <w:kern w:val="2"/>
          <w:sz w:val="32"/>
          <w:szCs w:val="32"/>
          <w:lang w:val="en-US" w:eastAsia="zh-CN" w:bidi="ar"/>
        </w:rPr>
        <w:t>参加失业保险12个月以上的企业在职职工或领取失业保险金期间的失业人员，取得技能人员职业资格证书或职业技能等级证书，可在发证日期12个月以内按照初级（五级）1000元、中级（四级）1500元、高级（三级）2000元的标准申请技能提升补贴。对于2025年1月1日至本通知印发期间已提交申请且申请时符合条件的，经办机构可予以补发。执行期限至2025年12月31日。</w:t>
      </w:r>
    </w:p>
    <w:p w14:paraId="6E29E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仿宋_GB2312" w:hAnsi="仿宋_GB2312" w:eastAsia="仿宋_GB2312" w:cs="仿宋_GB2312"/>
          <w:i w:val="0"/>
          <w:caps w:val="0"/>
          <w:color w:val="auto"/>
          <w:spacing w:val="0"/>
          <w:kern w:val="2"/>
          <w:sz w:val="32"/>
          <w:szCs w:val="32"/>
          <w:lang w:val="en-US" w:eastAsia="zh-CN" w:bidi="ar"/>
        </w:rPr>
      </w:pPr>
      <w:r>
        <w:rPr>
          <w:rFonts w:hint="eastAsia" w:ascii="楷体_GB2312" w:hAnsi="楷体_GB2312" w:eastAsia="楷体_GB2312" w:cs="楷体_GB2312"/>
          <w:i w:val="0"/>
          <w:caps w:val="0"/>
          <w:color w:val="auto"/>
          <w:spacing w:val="0"/>
          <w:kern w:val="2"/>
          <w:sz w:val="32"/>
          <w:szCs w:val="32"/>
          <w:lang w:val="en-US" w:eastAsia="zh-CN" w:bidi="ar"/>
        </w:rPr>
        <w:t>（四）加强证书审核。</w:t>
      </w:r>
      <w:r>
        <w:rPr>
          <w:rFonts w:hint="eastAsia" w:ascii="仿宋_GB2312" w:hAnsi="仿宋_GB2312" w:eastAsia="仿宋_GB2312" w:cs="仿宋_GB2312"/>
          <w:i w:val="0"/>
          <w:caps w:val="0"/>
          <w:color w:val="auto"/>
          <w:spacing w:val="0"/>
          <w:kern w:val="2"/>
          <w:sz w:val="32"/>
          <w:szCs w:val="32"/>
          <w:lang w:val="en-US" w:eastAsia="zh-CN" w:bidi="ar"/>
        </w:rPr>
        <w:t>申领技能提升补贴人员所持证书应在技能人才评价工作网全国联网查询系统（www.osta.org.cn）上能够查询到。同一职业（工种）同一等级只能申请并享受1次，不得和职业培训补贴重复享受。已持有同一职业（工种）高等级证书或享受相应补贴的，不再享受低等级证书补贴。企业在职职工申领技能提升补贴，失业保险经办机构要核验其证岗相适情况。</w:t>
      </w:r>
    </w:p>
    <w:p w14:paraId="48946D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kern w:val="2"/>
          <w:sz w:val="32"/>
          <w:szCs w:val="32"/>
          <w:lang w:val="en-US" w:eastAsia="zh-CN" w:bidi="ar"/>
        </w:rPr>
      </w:pPr>
      <w:r>
        <w:rPr>
          <w:rFonts w:hint="eastAsia" w:ascii="楷体_GB2312" w:hAnsi="楷体_GB2312" w:eastAsia="楷体_GB2312" w:cs="楷体_GB2312"/>
          <w:i w:val="0"/>
          <w:caps w:val="0"/>
          <w:color w:val="auto"/>
          <w:spacing w:val="0"/>
          <w:kern w:val="2"/>
          <w:sz w:val="32"/>
          <w:szCs w:val="32"/>
          <w:lang w:val="en-US" w:eastAsia="zh-CN" w:bidi="ar"/>
        </w:rPr>
        <w:t>（五）调整政策享受次数。</w:t>
      </w:r>
      <w:r>
        <w:rPr>
          <w:rFonts w:hint="eastAsia" w:ascii="仿宋_GB2312" w:hAnsi="仿宋_GB2312" w:eastAsia="仿宋_GB2312" w:cs="仿宋_GB2312"/>
          <w:i w:val="0"/>
          <w:caps w:val="0"/>
          <w:color w:val="auto"/>
          <w:spacing w:val="0"/>
          <w:kern w:val="2"/>
          <w:sz w:val="32"/>
          <w:szCs w:val="32"/>
          <w:lang w:val="en-US" w:eastAsia="zh-CN" w:bidi="ar"/>
        </w:rPr>
        <w:t>自2025年4月16日起，每人每年可享受1次技能提升补贴，各市人力资源社会保障部门可结合本地实际，对取得急需紧缺职业（工种）证书（符合当地目录、当地核发证书）的，在此基础上增加2次补贴次数，并参照当地职业培训补贴标准，合理确定对职业技能等级证书的具体补贴标准，有关标准须报省人力资源社会保障厅备案。2025年4月16日前已发放、已提交申请的，按原政策执行申领次数，计入全年申领次数。</w:t>
      </w:r>
    </w:p>
    <w:p w14:paraId="15501D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黑体" w:hAnsi="黑体" w:eastAsia="黑体" w:cs="黑体"/>
          <w:i w:val="0"/>
          <w:caps w:val="0"/>
          <w:color w:val="auto"/>
          <w:spacing w:val="0"/>
          <w:kern w:val="2"/>
          <w:sz w:val="32"/>
          <w:szCs w:val="32"/>
          <w:lang w:val="en-US" w:eastAsia="zh-CN" w:bidi="ar"/>
        </w:rPr>
      </w:pPr>
      <w:r>
        <w:rPr>
          <w:rFonts w:hint="eastAsia" w:ascii="黑体" w:hAnsi="黑体" w:eastAsia="黑体" w:cs="黑体"/>
          <w:i w:val="0"/>
          <w:caps w:val="0"/>
          <w:color w:val="auto"/>
          <w:spacing w:val="0"/>
          <w:kern w:val="2"/>
          <w:sz w:val="32"/>
          <w:szCs w:val="32"/>
          <w:lang w:val="en-US" w:eastAsia="zh-CN" w:bidi="ar"/>
        </w:rPr>
        <w:t>三、扎实保障失业人员基本生活</w:t>
      </w:r>
    </w:p>
    <w:p w14:paraId="0FA238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kern w:val="2"/>
          <w:sz w:val="32"/>
          <w:szCs w:val="32"/>
        </w:rPr>
      </w:pPr>
      <w:r>
        <w:rPr>
          <w:rFonts w:hint="eastAsia" w:ascii="楷体_GB2312" w:hAnsi="楷体_GB2312" w:eastAsia="楷体_GB2312" w:cs="楷体_GB2312"/>
          <w:i w:val="0"/>
          <w:caps w:val="0"/>
          <w:color w:val="auto"/>
          <w:spacing w:val="0"/>
          <w:kern w:val="2"/>
          <w:sz w:val="32"/>
          <w:szCs w:val="32"/>
          <w:lang w:val="en-US" w:eastAsia="zh-CN" w:bidi="ar"/>
        </w:rPr>
        <w:t>（六）优化保生活待遇发放工作。</w:t>
      </w:r>
      <w:r>
        <w:rPr>
          <w:rFonts w:hint="eastAsia" w:ascii="仿宋_GB2312" w:hAnsi="仿宋_GB2312" w:eastAsia="仿宋_GB2312" w:cs="仿宋_GB2312"/>
          <w:i w:val="0"/>
          <w:caps w:val="0"/>
          <w:color w:val="auto"/>
          <w:spacing w:val="0"/>
          <w:kern w:val="2"/>
          <w:sz w:val="32"/>
          <w:szCs w:val="32"/>
          <w:lang w:val="en-US" w:eastAsia="zh-CN" w:bidi="ar"/>
        </w:rPr>
        <w:t>持续落实</w:t>
      </w:r>
      <w:r>
        <w:rPr>
          <w:rFonts w:hint="eastAsia" w:ascii="仿宋_GB2312" w:hAnsi="仿宋_GB2312" w:eastAsia="仿宋_GB2312" w:cs="仿宋_GB2312"/>
          <w:i w:val="0"/>
          <w:caps w:val="0"/>
          <w:color w:val="auto"/>
          <w:spacing w:val="0"/>
          <w:kern w:val="2"/>
          <w:sz w:val="32"/>
          <w:szCs w:val="32"/>
          <w:highlight w:val="none"/>
          <w:lang w:val="en-US" w:eastAsia="zh-CN" w:bidi="ar"/>
        </w:rPr>
        <w:t>好</w:t>
      </w:r>
      <w:r>
        <w:rPr>
          <w:rFonts w:hint="eastAsia" w:ascii="仿宋_GB2312" w:hAnsi="仿宋_GB2312" w:eastAsia="仿宋_GB2312" w:cs="仿宋_GB2312"/>
          <w:i w:val="0"/>
          <w:caps w:val="0"/>
          <w:color w:val="auto"/>
          <w:spacing w:val="0"/>
          <w:kern w:val="2"/>
          <w:sz w:val="32"/>
          <w:szCs w:val="32"/>
          <w:lang w:val="en-US" w:eastAsia="zh-CN" w:bidi="ar"/>
        </w:rPr>
        <w:t>失业保险金、代缴基本医疗保险（含生育保险）费、价格临时补贴等政策。推进失业保险金申请与失业登记集成办理。加强主动服务，可通过短信、APP、小程序、公众号等向符合失业保险金申领条件的失业人员推送申领渠道，审核完毕后及时反馈结果。</w:t>
      </w:r>
    </w:p>
    <w:p w14:paraId="322FC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黑体" w:hAnsi="黑体" w:eastAsia="黑体" w:cs="黑体"/>
          <w:i w:val="0"/>
          <w:caps w:val="0"/>
          <w:color w:val="auto"/>
          <w:spacing w:val="0"/>
          <w:kern w:val="2"/>
          <w:sz w:val="32"/>
          <w:szCs w:val="32"/>
          <w:lang w:val="en-US" w:eastAsia="zh-CN" w:bidi="ar"/>
        </w:rPr>
      </w:pPr>
      <w:r>
        <w:rPr>
          <w:rFonts w:hint="eastAsia" w:ascii="楷体_GB2312" w:hAnsi="楷体_GB2312" w:eastAsia="楷体_GB2312" w:cs="楷体_GB2312"/>
          <w:i w:val="0"/>
          <w:caps w:val="0"/>
          <w:color w:val="auto"/>
          <w:spacing w:val="0"/>
          <w:kern w:val="2"/>
          <w:sz w:val="32"/>
          <w:szCs w:val="32"/>
          <w:lang w:val="en-US" w:eastAsia="zh-CN" w:bidi="ar"/>
        </w:rPr>
        <w:t>（七）做好大龄失业人员保障工作。</w:t>
      </w:r>
      <w:r>
        <w:rPr>
          <w:rFonts w:hint="eastAsia" w:ascii="仿宋_GB2312" w:hAnsi="仿宋_GB2312" w:eastAsia="仿宋_GB2312" w:cs="仿宋_GB2312"/>
          <w:i w:val="0"/>
          <w:caps w:val="0"/>
          <w:color w:val="auto"/>
          <w:spacing w:val="0"/>
          <w:kern w:val="2"/>
          <w:sz w:val="32"/>
          <w:szCs w:val="32"/>
          <w:lang w:val="en-US" w:eastAsia="zh-CN" w:bidi="ar"/>
        </w:rPr>
        <w:t>对领取失业保险金且距法定退休年龄不足1年的失业人员，领取失业保险金</w:t>
      </w:r>
      <w:r>
        <w:rPr>
          <w:rFonts w:hint="eastAsia" w:ascii="仿宋_GB2312" w:hAnsi="仿宋_GB2312" w:eastAsia="仿宋_GB2312" w:cs="仿宋_GB2312"/>
          <w:i w:val="0"/>
          <w:caps w:val="0"/>
          <w:color w:val="auto"/>
          <w:spacing w:val="0"/>
          <w:kern w:val="2"/>
          <w:sz w:val="32"/>
          <w:szCs w:val="32"/>
          <w:highlight w:val="none"/>
          <w:lang w:val="en-US" w:eastAsia="zh-CN" w:bidi="ar"/>
        </w:rPr>
        <w:t>期限</w:t>
      </w:r>
      <w:r>
        <w:rPr>
          <w:rFonts w:hint="eastAsia" w:ascii="仿宋_GB2312" w:hAnsi="仿宋_GB2312" w:eastAsia="仿宋_GB2312" w:cs="仿宋_GB2312"/>
          <w:i w:val="0"/>
          <w:caps w:val="0"/>
          <w:color w:val="auto"/>
          <w:spacing w:val="0"/>
          <w:kern w:val="2"/>
          <w:sz w:val="32"/>
          <w:szCs w:val="32"/>
          <w:lang w:val="en-US" w:eastAsia="zh-CN" w:bidi="ar"/>
        </w:rPr>
        <w:t>延长至法定退休年龄，在实施渐进式延迟法定退休年龄期间，由失业保险基金按照规定为其缴纳企业职工基本养老保险费。法定退休年龄按《全国人民代表大会常务委员会关于实施渐进式延迟法定退休年龄的决定》（2024年9月13日通过）明确的法定退休年龄执行，不因实施弹性退休制度选择的实际退休年龄而改变。对于“弹性提前”退休人员，领取基本养老保险金当月停发失业保险金；对于“弹性延后”退休人员，其失业保险金续发至法定退休年龄当月。</w:t>
      </w:r>
    </w:p>
    <w:p w14:paraId="162227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黑体" w:hAnsi="黑体" w:eastAsia="黑体" w:cs="黑体"/>
          <w:i w:val="0"/>
          <w:caps w:val="0"/>
          <w:color w:val="auto"/>
          <w:spacing w:val="0"/>
          <w:kern w:val="2"/>
          <w:sz w:val="32"/>
          <w:szCs w:val="32"/>
          <w:lang w:val="en-US" w:eastAsia="zh-CN" w:bidi="ar"/>
        </w:rPr>
      </w:pPr>
      <w:r>
        <w:rPr>
          <w:rFonts w:hint="eastAsia" w:ascii="黑体" w:hAnsi="黑体" w:eastAsia="黑体" w:cs="黑体"/>
          <w:i w:val="0"/>
          <w:caps w:val="0"/>
          <w:color w:val="auto"/>
          <w:spacing w:val="0"/>
          <w:kern w:val="2"/>
          <w:sz w:val="32"/>
          <w:szCs w:val="32"/>
          <w:lang w:val="en-US" w:eastAsia="zh-CN" w:bidi="ar"/>
        </w:rPr>
        <w:t>四、加强组织实施</w:t>
      </w:r>
    </w:p>
    <w:p w14:paraId="61D2DF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color w:val="auto"/>
          <w:kern w:val="2"/>
          <w:sz w:val="32"/>
          <w:szCs w:val="32"/>
          <w:lang w:val="en-US"/>
        </w:rPr>
      </w:pPr>
      <w:r>
        <w:rPr>
          <w:rFonts w:hint="eastAsia" w:ascii="楷体_GB2312" w:hAnsi="楷体_GB2312" w:eastAsia="楷体_GB2312" w:cs="楷体_GB2312"/>
          <w:i w:val="0"/>
          <w:caps w:val="0"/>
          <w:color w:val="auto"/>
          <w:spacing w:val="0"/>
          <w:kern w:val="2"/>
          <w:sz w:val="32"/>
          <w:szCs w:val="32"/>
          <w:lang w:val="en-US" w:eastAsia="zh-CN" w:bidi="ar"/>
        </w:rPr>
        <w:t>（八）推动政策落地见效。</w:t>
      </w:r>
      <w:r>
        <w:rPr>
          <w:rFonts w:hint="eastAsia" w:ascii="仿宋_GB2312" w:hAnsi="仿宋_GB2312" w:eastAsia="仿宋_GB2312" w:cs="仿宋_GB2312"/>
          <w:i w:val="0"/>
          <w:caps w:val="0"/>
          <w:color w:val="auto"/>
          <w:spacing w:val="0"/>
          <w:kern w:val="2"/>
          <w:sz w:val="32"/>
          <w:szCs w:val="32"/>
          <w:lang w:val="en-US" w:eastAsia="zh-CN" w:bidi="ar"/>
        </w:rPr>
        <w:t>各市要进一步提高政治站位，把落实失业保险稳岗惠民政策措施作为一项重要政治任务，强化组织领导，压实工作责任，统筹抓好贯彻落实。各级各有关部门要密切协作配合，细化实施措施，优化经办流程，及时调整办事指南，切实提升服务质效。要加大对失业保险稳岗惠民政策</w:t>
      </w:r>
      <w:r>
        <w:rPr>
          <w:rFonts w:hint="eastAsia" w:ascii="仿宋_GB2312" w:hAnsi="仿宋_GB2312" w:eastAsia="仿宋_GB2312" w:cs="仿宋_GB2312"/>
          <w:i w:val="0"/>
          <w:caps w:val="0"/>
          <w:color w:val="auto"/>
          <w:spacing w:val="0"/>
          <w:kern w:val="2"/>
          <w:sz w:val="32"/>
          <w:szCs w:val="32"/>
          <w:highlight w:val="none"/>
          <w:lang w:val="en-US" w:eastAsia="zh-CN" w:bidi="ar"/>
        </w:rPr>
        <w:t>措施</w:t>
      </w:r>
      <w:r>
        <w:rPr>
          <w:rFonts w:hint="eastAsia" w:ascii="仿宋_GB2312" w:hAnsi="仿宋_GB2312" w:eastAsia="仿宋_GB2312" w:cs="仿宋_GB2312"/>
          <w:i w:val="0"/>
          <w:caps w:val="0"/>
          <w:color w:val="auto"/>
          <w:spacing w:val="0"/>
          <w:kern w:val="2"/>
          <w:sz w:val="32"/>
          <w:szCs w:val="32"/>
          <w:lang w:val="en-US" w:eastAsia="zh-CN" w:bidi="ar"/>
        </w:rPr>
        <w:t>的宣传解读，通过官网官微、报刊广播、宣传展板等多渠道、多层次、全方位开展宣传，提高政策知晓度、扩大政策享受面。</w:t>
      </w:r>
    </w:p>
    <w:p w14:paraId="3400DB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color w:val="auto"/>
          <w:kern w:val="2"/>
        </w:rPr>
      </w:pPr>
      <w:r>
        <w:rPr>
          <w:rFonts w:hint="eastAsia" w:ascii="楷体_GB2312" w:hAnsi="楷体_GB2312" w:eastAsia="楷体_GB2312" w:cs="楷体_GB2312"/>
          <w:i w:val="0"/>
          <w:caps w:val="0"/>
          <w:color w:val="auto"/>
          <w:spacing w:val="0"/>
          <w:kern w:val="2"/>
          <w:sz w:val="32"/>
          <w:szCs w:val="32"/>
          <w:lang w:val="en-US" w:eastAsia="zh-CN" w:bidi="ar"/>
        </w:rPr>
        <w:t>（九）强化基金风险防控。</w:t>
      </w:r>
      <w:r>
        <w:rPr>
          <w:rFonts w:hint="eastAsia" w:ascii="仿宋_GB2312" w:hAnsi="仿宋_GB2312" w:eastAsia="仿宋_GB2312" w:cs="仿宋_GB2312"/>
          <w:i w:val="0"/>
          <w:caps w:val="0"/>
          <w:color w:val="auto"/>
          <w:spacing w:val="0"/>
          <w:kern w:val="2"/>
          <w:sz w:val="32"/>
          <w:szCs w:val="32"/>
          <w:lang w:val="en-US" w:eastAsia="zh-CN" w:bidi="ar"/>
        </w:rPr>
        <w:t>要密切关注失业保险基金运行状况，优先确保保生活待遇支出。要精准界定人员范围，对已进行灵活就业人员登记并领取社保补贴的人员，不得同时发放失业保险金。要加强业务数据共享比对，重点核查持参保地或领金地以外所获证书、批量持同一评价机构所发证书申领技能提升补贴等情形；加强异地重复领取、生存状态或身份状态异常人员领取、短期参保领取失业保险金等疑点数据排查，切实防范冒领骗取和多发错发。严格执行社保基金要情报告制度。</w:t>
      </w:r>
    </w:p>
    <w:p w14:paraId="4AFB4575">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color w:val="auto"/>
        </w:rPr>
      </w:pPr>
    </w:p>
    <w:p w14:paraId="3B2AED34">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14:paraId="2BAE78F2">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14:paraId="0BF4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vAlign w:val="center"/>
          </w:tcPr>
          <w:p w14:paraId="651FEA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1" w:type="dxa"/>
            <w:tcBorders>
              <w:top w:val="nil"/>
              <w:left w:val="nil"/>
              <w:bottom w:val="nil"/>
              <w:right w:val="nil"/>
            </w:tcBorders>
            <w:vAlign w:val="center"/>
          </w:tcPr>
          <w:p w14:paraId="1B3B1E2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山东省财政厅</w:t>
            </w:r>
          </w:p>
        </w:tc>
      </w:tr>
    </w:tbl>
    <w:p w14:paraId="3D2EEE7B">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p w14:paraId="5B29EAD7">
      <w:pPr>
        <w:pStyle w:val="2"/>
      </w:pPr>
    </w:p>
    <w:p w14:paraId="7C8FB6F8">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color w:val="auto"/>
        </w:rPr>
      </w:pP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14:paraId="07CE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vAlign w:val="center"/>
          </w:tcPr>
          <w:p w14:paraId="6893C5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家税务总局山东省税务局</w:t>
            </w:r>
          </w:p>
        </w:tc>
        <w:tc>
          <w:tcPr>
            <w:tcW w:w="4531" w:type="dxa"/>
            <w:tcBorders>
              <w:top w:val="nil"/>
              <w:left w:val="nil"/>
              <w:bottom w:val="nil"/>
              <w:right w:val="nil"/>
            </w:tcBorders>
            <w:vAlign w:val="center"/>
          </w:tcPr>
          <w:p w14:paraId="41CBD1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国家税务总局青岛市税务局</w:t>
            </w:r>
          </w:p>
        </w:tc>
      </w:tr>
      <w:tr w14:paraId="0C05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vAlign w:val="center"/>
          </w:tcPr>
          <w:p w14:paraId="321742D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rPr>
            </w:pPr>
          </w:p>
        </w:tc>
        <w:tc>
          <w:tcPr>
            <w:tcW w:w="4531" w:type="dxa"/>
            <w:tcBorders>
              <w:top w:val="nil"/>
              <w:left w:val="nil"/>
              <w:bottom w:val="nil"/>
              <w:right w:val="nil"/>
            </w:tcBorders>
            <w:vAlign w:val="center"/>
          </w:tcPr>
          <w:p w14:paraId="2ADBE14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tc>
      </w:tr>
    </w:tbl>
    <w:p w14:paraId="796927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p>
    <w:p w14:paraId="2144F4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14:paraId="59F48E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（联系单位：省人力资源社会保障厅失业保险处）</w:t>
      </w:r>
    </w:p>
    <w:p w14:paraId="67706E8E">
      <w:pPr>
        <w:pStyle w:val="2"/>
        <w:rPr>
          <w:rFonts w:hint="eastAsia"/>
          <w:color w:val="auto"/>
        </w:rPr>
      </w:pPr>
    </w:p>
    <w:p w14:paraId="0DF69DAE">
      <w:pPr>
        <w:pStyle w:val="4"/>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pacing w:val="0"/>
          <w:lang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14:paraId="35AEDA39">
      <w:pPr>
        <w:pStyle w:val="4"/>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pacing w:val="0"/>
          <w:lang w:eastAsia="zh-CN"/>
        </w:rPr>
      </w:pPr>
    </w:p>
    <w:p w14:paraId="0451CDC9">
      <w:pPr>
        <w:pStyle w:val="4"/>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pacing w:val="0"/>
          <w:lang w:eastAsia="zh-CN"/>
        </w:rPr>
      </w:pPr>
    </w:p>
    <w:p w14:paraId="2F4E1965">
      <w:pPr>
        <w:pStyle w:val="4"/>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pacing w:val="0"/>
          <w:lang w:eastAsia="zh-CN"/>
        </w:rPr>
      </w:pPr>
    </w:p>
    <w:p w14:paraId="1D42CA37">
      <w:pPr>
        <w:pStyle w:val="4"/>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pacing w:val="0"/>
          <w:lang w:eastAsia="zh-CN"/>
        </w:rPr>
      </w:pPr>
    </w:p>
    <w:p w14:paraId="5C4E58E4">
      <w:pPr>
        <w:pStyle w:val="6"/>
        <w:spacing w:line="600" w:lineRule="exact"/>
        <w:rPr>
          <w:rFonts w:hint="eastAsia" w:ascii="仿宋_GB2312" w:hAnsi="仿宋_GB2312"/>
          <w:color w:val="auto"/>
        </w:rPr>
      </w:pPr>
    </w:p>
    <w:p w14:paraId="6B9D52F6">
      <w:pPr>
        <w:pStyle w:val="6"/>
        <w:spacing w:line="600" w:lineRule="exact"/>
        <w:rPr>
          <w:rFonts w:hint="eastAsia" w:ascii="仿宋_GB2312" w:hAnsi="仿宋_GB2312"/>
          <w:color w:val="auto"/>
        </w:rPr>
      </w:pPr>
    </w:p>
    <w:p w14:paraId="5DC75028">
      <w:pPr>
        <w:pStyle w:val="6"/>
        <w:spacing w:line="600" w:lineRule="exact"/>
        <w:rPr>
          <w:rFonts w:hint="eastAsia" w:ascii="仿宋_GB2312" w:hAnsi="仿宋_GB2312"/>
          <w:color w:val="auto"/>
        </w:rPr>
      </w:pPr>
    </w:p>
    <w:p w14:paraId="70050F88">
      <w:pPr>
        <w:pStyle w:val="6"/>
        <w:spacing w:line="600" w:lineRule="exact"/>
        <w:rPr>
          <w:rFonts w:hint="eastAsia" w:ascii="仿宋_GB2312" w:hAnsi="仿宋_GB2312"/>
          <w:color w:val="auto"/>
        </w:rPr>
      </w:pPr>
    </w:p>
    <w:p w14:paraId="26E43D2E">
      <w:pPr>
        <w:pStyle w:val="6"/>
        <w:spacing w:line="600" w:lineRule="exact"/>
        <w:rPr>
          <w:rFonts w:hint="eastAsia" w:ascii="仿宋_GB2312" w:hAnsi="仿宋_GB2312"/>
          <w:color w:val="auto"/>
        </w:rPr>
      </w:pPr>
    </w:p>
    <w:p w14:paraId="06F28268">
      <w:pPr>
        <w:pStyle w:val="6"/>
        <w:spacing w:line="600" w:lineRule="exact"/>
        <w:rPr>
          <w:rFonts w:hint="eastAsia" w:ascii="仿宋_GB2312" w:hAnsi="仿宋_GB2312"/>
          <w:color w:val="auto"/>
        </w:rPr>
      </w:pPr>
    </w:p>
    <w:p w14:paraId="3276A40B">
      <w:pPr>
        <w:pStyle w:val="6"/>
        <w:spacing w:line="600" w:lineRule="exact"/>
        <w:rPr>
          <w:rFonts w:hint="eastAsia" w:ascii="仿宋_GB2312" w:hAnsi="仿宋_GB2312"/>
          <w:color w:val="auto"/>
        </w:rPr>
      </w:pPr>
    </w:p>
    <w:p w14:paraId="5B59D888">
      <w:pPr>
        <w:pStyle w:val="6"/>
        <w:spacing w:line="600" w:lineRule="exact"/>
        <w:rPr>
          <w:rFonts w:hint="eastAsia" w:ascii="仿宋_GB2312" w:hAnsi="仿宋_GB2312"/>
          <w:color w:val="auto"/>
        </w:rPr>
      </w:pPr>
    </w:p>
    <w:p w14:paraId="41C4AF22">
      <w:pPr>
        <w:pStyle w:val="6"/>
        <w:spacing w:line="600" w:lineRule="exact"/>
        <w:rPr>
          <w:rFonts w:hint="eastAsia" w:ascii="仿宋_GB2312" w:hAnsi="仿宋_GB2312"/>
          <w:color w:val="auto"/>
        </w:rPr>
      </w:pPr>
    </w:p>
    <w:p w14:paraId="790C03AC">
      <w:pPr>
        <w:pStyle w:val="6"/>
        <w:spacing w:line="600" w:lineRule="exact"/>
        <w:rPr>
          <w:rFonts w:hint="eastAsia" w:ascii="仿宋_GB2312" w:hAnsi="仿宋_GB2312"/>
          <w:color w:val="auto"/>
        </w:rPr>
      </w:pPr>
    </w:p>
    <w:p w14:paraId="5445FF20">
      <w:pPr>
        <w:pStyle w:val="6"/>
        <w:spacing w:line="600" w:lineRule="exact"/>
        <w:rPr>
          <w:rFonts w:hint="eastAsia" w:ascii="仿宋_GB2312" w:hAnsi="仿宋_GB2312"/>
          <w:color w:val="auto"/>
        </w:rPr>
      </w:pPr>
    </w:p>
    <w:p w14:paraId="104BDCF1">
      <w:pPr>
        <w:pStyle w:val="6"/>
        <w:spacing w:line="600" w:lineRule="exact"/>
        <w:rPr>
          <w:rFonts w:hint="eastAsia" w:ascii="仿宋_GB2312" w:hAnsi="仿宋_GB2312"/>
          <w:color w:val="auto"/>
        </w:rPr>
      </w:pPr>
    </w:p>
    <w:p w14:paraId="56B73A95">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523F8389">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5F06A706">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2600C0B8">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2C48E151">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3D38A913">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35D0A0F7">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1F6EFA47">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7AF88A13">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73455DA2">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05DD7E6C">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5664607A">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733C37EF">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7B0188BC">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2746E86D">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099A4414">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2A0A3711">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77F7983F">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1D729507">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60186D3B">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15CD242D">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605D2BA5">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2AEA9BE8">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hAnsi="仿宋_GB2312" w:eastAsia="仿宋_GB2312"/>
          <w:color w:val="auto"/>
        </w:rPr>
      </w:pPr>
    </w:p>
    <w:p w14:paraId="3C499F20">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default" w:ascii="仿宋_GB2312" w:hAnsi="仿宋_GB2312" w:eastAsia="仿宋_GB2312" w:cs="Times New Roman"/>
          <w:color w:val="auto"/>
          <w:sz w:val="28"/>
          <w:szCs w:val="28"/>
        </w:rPr>
      </w:pPr>
      <w:r>
        <w:rPr>
          <w:rFonts w:hint="eastAsia" w:ascii="仿宋_GB2312" w:hAns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q2Dj9gEAAOUDAAAOAAAAZHJzL2Uyb0RvYy54bWytU81uEzEQ&#10;viPxDpbvZJOWlLLKpoeGckEQCXiAie3dteQ/eZy/l+AFkLjBiSP3vg3lMRh70xTKJQf24B17xt/M&#10;9814drWzhm1URO1dwyejMWfKCS+16xr+8cPNs0vOMIGTYLxTDd8r5Ffzp09m21CrM997I1VkBOKw&#10;3oaG9ymFuqpQ9MoCjnxQjpytjxYSbWNXyQhbQremOhuPL6qtjzJELxQinS4GJz8gxlMAfdtqoRZe&#10;rK1yaUCNykAiStjrgHxeqm1bJdK7tkWVmGk4MU1lpSRkr/JazWdQdxFCr8WhBDilhEecLGhHSY9Q&#10;C0jA1lH/A2W1iB59m0bC22ogUhQhFpPxI23e9xBU4UJSYziKjv8PVrzdLCPTsuHnnDmw1PC7zz9+&#10;fvr66/YLrXffv7HzLNI2YE2x124ZDzsMy5gZ79po85+4sF0Rdn8UVu0SE3Q4vZhMXz4nzcW9r3q4&#10;GCKm18pblo2GG+0yZ6hh8wYTJaPQ+5B8bBzb0txOL19MCQ9oAlvqPJk2EAt0XbmM3mh5o43JVzB2&#10;q2sT2QbyFJQvcyLgv8JylgVgP8QV1zAfvQL5ykmW9oH0cfQseK7BKsmZUfSKskWAUCfQ5pRISm0c&#10;VZBlHYTM1srLPXVjHaLuepJiUqrMHup+qfcwqXm8/twXpIfXOf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2yOvNQAAAAEAQAADwAAAAAAAAABACAAAAAiAAAAZHJzL2Rvd25yZXYueG1sUEsBAhQA&#10;FAAAAAgAh07iQL6rYOP2AQAA5Q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A3Q7ez1AQAA5AMAAA4AAABkcnMvZTJvRG9jLnhtbK1TzY7TMBC+&#10;I/EOlu807dJWbNR0D1uWC4JKwANMHSex5D953KZ9CV4AiRucOHLnbXZ5DMZOt7sslx7IwRl7xt/M&#10;9814cbU3mu1kQOVsxSejMWfSClcr21b808ebF684wwi2Bu2srPhBIr9aPn+26H0pL1zndC0DIxCL&#10;Ze8r3sXoy6JA0UkDOHJeWnI2LhiItA1tUQfoCd3o4mI8nhe9C7UPTkhEOl0NTn5EDOcAuqZRQq6c&#10;2Bpp44AapIZIlLBTHvkyV9s0UsT3TYMyMl1xYhrzSknI3qS1WC6gbAP4ToljCXBOCU84GVCWkp6g&#10;VhCBbYP6B8ooERy6Jo6EM8VAJCtCLCbjJ9p86MDLzIWkRn8SHf8frHi3Wwem6opPObNgqOF3X37e&#10;fv72+9dXWu9+fGfTJFLvsaTYa7sOxx36dUiM900w6U9c2D4LezgJK/eRCTqczSezyylpLu59xcNF&#10;HzC+kc6wZFRcK5s4Qwm7txgpGYXeh6RjbVlf8fnLWYIDGsCGGk+m8UQCbZvvotOqvlFapxsY2s21&#10;DmwHaQjylygR7l9hKckKsBvismsYj05C/drWLB48yWPpVfBUgpE1Z1rSI0oWAUIZQelzIim1tlRB&#10;UnXQMVkbVx+oGVsfVNuREpNcZfJQ83O9x0FN0/V4n5EeHuf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Ont3TAAAABgEAAA8AAAAAAAAAAQAgAAAAIgAAAGRycy9kb3ducmV2LnhtbFBLAQIUABQA&#10;AAAIAIdO4kAN0O3s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仿宋_GB2312" w:hAnsi="仿宋_GB2312" w:eastAsia="仿宋_GB2312"/>
          <w:color w:val="auto"/>
          <w:sz w:val="28"/>
          <w:szCs w:val="28"/>
        </w:rPr>
        <w:t xml:space="preserve">山东省人力资源和社会保障厅办公室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 </w:t>
      </w:r>
      <w:r>
        <w:rPr>
          <w:rFonts w:hint="default" w:ascii="仿宋_GB2312" w:hAnsi="仿宋_GB2312" w:eastAsia="仿宋_GB2312" w:cs="Times New Roman"/>
          <w:color w:val="auto"/>
          <w:sz w:val="28"/>
          <w:szCs w:val="28"/>
        </w:rPr>
        <w:t xml:space="preserve"> 202</w:t>
      </w:r>
      <w:r>
        <w:rPr>
          <w:rFonts w:hint="eastAsia" w:ascii="仿宋_GB2312" w:hAnsi="仿宋_GB2312" w:eastAsia="仿宋_GB2312" w:cs="Times New Roman"/>
          <w:color w:val="auto"/>
          <w:sz w:val="28"/>
          <w:szCs w:val="28"/>
          <w:lang w:val="en-US" w:eastAsia="zh-CN"/>
        </w:rPr>
        <w:t>5</w:t>
      </w:r>
      <w:r>
        <w:rPr>
          <w:rFonts w:hint="default" w:ascii="仿宋_GB2312" w:hAnsi="仿宋_GB2312" w:eastAsia="仿宋_GB2312" w:cs="Times New Roman"/>
          <w:color w:val="auto"/>
          <w:sz w:val="28"/>
          <w:szCs w:val="28"/>
        </w:rPr>
        <w:t>年</w:t>
      </w:r>
      <w:r>
        <w:rPr>
          <w:rFonts w:hint="eastAsia" w:ascii="仿宋_GB2312" w:hAnsi="仿宋_GB2312" w:eastAsia="仿宋_GB2312" w:cs="Times New Roman"/>
          <w:color w:val="auto"/>
          <w:sz w:val="28"/>
          <w:szCs w:val="28"/>
          <w:lang w:val="en-US" w:eastAsia="zh-CN"/>
        </w:rPr>
        <w:t>6</w:t>
      </w:r>
      <w:r>
        <w:rPr>
          <w:rFonts w:hint="default" w:ascii="仿宋_GB2312" w:hAnsi="仿宋_GB2312" w:eastAsia="仿宋_GB2312" w:cs="Times New Roman"/>
          <w:color w:val="auto"/>
          <w:sz w:val="28"/>
          <w:szCs w:val="28"/>
        </w:rPr>
        <w:t>月</w:t>
      </w:r>
      <w:r>
        <w:rPr>
          <w:rFonts w:hint="eastAsia" w:ascii="仿宋_GB2312" w:hAnsi="仿宋_GB2312" w:eastAsia="仿宋_GB2312" w:cs="Times New Roman"/>
          <w:color w:val="auto"/>
          <w:sz w:val="28"/>
          <w:szCs w:val="28"/>
          <w:lang w:val="en-US" w:eastAsia="zh-CN"/>
        </w:rPr>
        <w:t>16</w:t>
      </w:r>
      <w:r>
        <w:rPr>
          <w:rFonts w:hint="default" w:ascii="仿宋_GB2312" w:hAnsi="仿宋_GB2312" w:eastAsia="仿宋_GB2312" w:cs="Times New Roman"/>
          <w:color w:val="auto"/>
          <w:sz w:val="28"/>
          <w:szCs w:val="28"/>
        </w:rPr>
        <w:t>日印发</w:t>
      </w:r>
    </w:p>
    <w:p w14:paraId="6DA6E934">
      <w:pPr>
        <w:keepNext w:val="0"/>
        <w:keepLines w:val="0"/>
        <w:pageBreakBefore w:val="0"/>
        <w:widowControl w:val="0"/>
        <w:kinsoku/>
        <w:wordWrap/>
        <w:overflowPunct/>
        <w:topLinePunct w:val="0"/>
        <w:autoSpaceDE/>
        <w:autoSpaceDN/>
        <w:bidi w:val="0"/>
        <w:adjustRightInd/>
        <w:snapToGrid/>
        <w:spacing w:line="240" w:lineRule="auto"/>
        <w:ind w:left="316" w:leftChars="100" w:right="57" w:firstLine="0" w:firstLineChars="0"/>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Kk23kb2AQAA5QMAAA4AAABkcnMvZTJvRG9jLnhtbK1TzW4T&#10;MRC+I/EOlu9kk4qUssqmh4ZyQRAJeICJ7d215D95nGzyErwAEjc4ceTO27Q8BmNv2kK55MAevGPP&#10;+Jv5vhkvLvfWsJ2KqL1r+Gwy5Uw54aV2XcM/frh+dsEZJnASjHeq4QeF/HL59MliCLU68703UkVG&#10;IA7rITS8TynUVYWiVxZw4oNy5Gx9tJBoG7tKRhgI3ZrqbDo9rwYfZYheKEQ6XY1OfkSMpwD6ttVC&#10;rbzYWuXSiBqVgUSUsNcB+bJU27ZKpHdtiyox03BimspKScje5LVaLqDuIoRei2MJcEoJjzhZ0I6S&#10;3kOtIAHbRv0PlNUievRtmghvq5FIUYRYzKaPtHnfQ1CFC0mN4V50/H+w4u1uHZmWDZ9z5sBSw28/&#10;/7j59PXXzy+03n7/xuZZpCFgTbFXbh2POwzrmBnv22jzn7iwfRH2cC+s2icm6HB+Ppu/fE6aiztf&#10;9XAxREyvlbcsGw032mXOUMPuDSZKRqF3IfnYODbQ3M4vXlDFAmgCW+o8mTYQC3RduYzeaHmtjclX&#10;MHabKxPZDvIUlC9zIuC/wnKWFWA/xhXXOB+9AvnKSZYOgfRx9Cx4rsEqyZlR9IqyRYBQJ9DmlEhK&#10;bRxVkGUdhczWxssDdWMbou56kmJWqswe6n6p9zipebz+3B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rRCJ1gAAAAYBAAAPAAAAAAAAAAEAIAAAACIAAABkcnMvZG93bnJldi54bWxQSwEC&#10;FAAUAAAACACHTuJAqTbeRvYBAADlAwAADgAAAAAAAAABACAAAAAlAQAAZHJzL2Uyb0RvYy54bWxQ&#10;SwUGAAAAAAYABgBZAQAAjQUAAAAA&#10;">
                <v:fill on="f" focussize="0,0"/>
                <v:stroke weight="1.25pt" color="#000000" joinstyle="round"/>
                <v:imagedata o:title=""/>
                <o:lock v:ext="edit" aspectratio="f"/>
              </v:line>
            </w:pict>
          </mc:Fallback>
        </mc:AlternateContent>
      </w:r>
      <w:r>
        <w:rPr>
          <w:rFonts w:hint="eastAsia" w:ascii="仿宋_GB2312" w:hAnsi="仿宋_GB2312" w:eastAsia="仿宋_GB2312"/>
          <w:color w:val="auto"/>
          <w:sz w:val="28"/>
          <w:szCs w:val="28"/>
        </w:rPr>
        <w:t>校核人：</w:t>
      </w:r>
      <w:r>
        <w:rPr>
          <w:rFonts w:hint="eastAsia" w:ascii="仿宋_GB2312" w:hAnsi="仿宋_GB2312" w:eastAsia="仿宋_GB2312"/>
          <w:color w:val="auto"/>
          <w:sz w:val="28"/>
          <w:szCs w:val="28"/>
          <w:lang w:eastAsia="zh-CN"/>
        </w:rPr>
        <w:t>赵佳敏</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164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C1070">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EC1070">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DA97">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56806"/>
    <w:rsid w:val="04E73589"/>
    <w:rsid w:val="09F53C79"/>
    <w:rsid w:val="0E5E6115"/>
    <w:rsid w:val="10785619"/>
    <w:rsid w:val="115D2E26"/>
    <w:rsid w:val="12042EEF"/>
    <w:rsid w:val="16FA4DF8"/>
    <w:rsid w:val="18956806"/>
    <w:rsid w:val="19A05834"/>
    <w:rsid w:val="1A025A4E"/>
    <w:rsid w:val="1ADA4D76"/>
    <w:rsid w:val="1C8431EB"/>
    <w:rsid w:val="1D4A335B"/>
    <w:rsid w:val="1D857430"/>
    <w:rsid w:val="1D9F688A"/>
    <w:rsid w:val="1E805C34"/>
    <w:rsid w:val="1E81703F"/>
    <w:rsid w:val="1EFE3708"/>
    <w:rsid w:val="1F8359DC"/>
    <w:rsid w:val="21F41989"/>
    <w:rsid w:val="2628233C"/>
    <w:rsid w:val="28E415DC"/>
    <w:rsid w:val="29CE1F49"/>
    <w:rsid w:val="2A0F6869"/>
    <w:rsid w:val="2B277B63"/>
    <w:rsid w:val="2C576226"/>
    <w:rsid w:val="2D583590"/>
    <w:rsid w:val="2E9F3EB4"/>
    <w:rsid w:val="34B561E0"/>
    <w:rsid w:val="35AF2CB8"/>
    <w:rsid w:val="38A24A97"/>
    <w:rsid w:val="3ABF2A1B"/>
    <w:rsid w:val="3AC726FB"/>
    <w:rsid w:val="3B39F333"/>
    <w:rsid w:val="3BB07701"/>
    <w:rsid w:val="3BE25275"/>
    <w:rsid w:val="3C2E6273"/>
    <w:rsid w:val="3D5FB478"/>
    <w:rsid w:val="3F6D16B3"/>
    <w:rsid w:val="40C95D05"/>
    <w:rsid w:val="41886A2A"/>
    <w:rsid w:val="41CA5D88"/>
    <w:rsid w:val="420C1409"/>
    <w:rsid w:val="42A54E54"/>
    <w:rsid w:val="46275D44"/>
    <w:rsid w:val="47FC09FE"/>
    <w:rsid w:val="48F17633"/>
    <w:rsid w:val="4AD2602C"/>
    <w:rsid w:val="4DCC1D21"/>
    <w:rsid w:val="4E061402"/>
    <w:rsid w:val="542D76E9"/>
    <w:rsid w:val="56E32F2F"/>
    <w:rsid w:val="57D91936"/>
    <w:rsid w:val="5E4A4BA5"/>
    <w:rsid w:val="60356E1F"/>
    <w:rsid w:val="62FD75CB"/>
    <w:rsid w:val="67BB1AFF"/>
    <w:rsid w:val="69BB40FF"/>
    <w:rsid w:val="6A0E057D"/>
    <w:rsid w:val="6C7F9869"/>
    <w:rsid w:val="6DA94350"/>
    <w:rsid w:val="710E21F8"/>
    <w:rsid w:val="7137174F"/>
    <w:rsid w:val="730B4C41"/>
    <w:rsid w:val="7618209F"/>
    <w:rsid w:val="76FD7322"/>
    <w:rsid w:val="76FD8565"/>
    <w:rsid w:val="776B4189"/>
    <w:rsid w:val="78322C70"/>
    <w:rsid w:val="78DE6954"/>
    <w:rsid w:val="78F87A16"/>
    <w:rsid w:val="7956298E"/>
    <w:rsid w:val="79621333"/>
    <w:rsid w:val="797C23F5"/>
    <w:rsid w:val="79E63D12"/>
    <w:rsid w:val="79E96BA4"/>
    <w:rsid w:val="7A6A66F1"/>
    <w:rsid w:val="7BA17401"/>
    <w:rsid w:val="7CBE2D25"/>
    <w:rsid w:val="7CFFDC51"/>
    <w:rsid w:val="7EE21822"/>
    <w:rsid w:val="7FEF15C7"/>
    <w:rsid w:val="B7AE5A9A"/>
    <w:rsid w:val="BEEF7667"/>
    <w:rsid w:val="D7BF500D"/>
    <w:rsid w:val="F3BC6D31"/>
    <w:rsid w:val="F5FF1644"/>
    <w:rsid w:val="FE7F45C7"/>
    <w:rsid w:val="FE8B00C6"/>
    <w:rsid w:val="FF57EF5E"/>
    <w:rsid w:val="FF7DBA31"/>
    <w:rsid w:val="FFDE91F4"/>
    <w:rsid w:val="FFF97E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5">
    <w:name w:val="heading 3"/>
    <w:basedOn w:val="1"/>
    <w:next w:val="1"/>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spacing w:after="120"/>
      <w:ind w:left="420" w:leftChars="200"/>
    </w:p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nhideWhenUsed/>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2296</Words>
  <Characters>2378</Characters>
  <Lines>0</Lines>
  <Paragraphs>0</Paragraphs>
  <TotalTime>2</TotalTime>
  <ScaleCrop>false</ScaleCrop>
  <LinksUpToDate>false</LinksUpToDate>
  <CharactersWithSpaces>2386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2024-06-21T08:13:00Z</dcterms:created>
  <dc:creator>赵建旭</dc:creator>
  <cp:lastModifiedBy>婁超羣</cp:lastModifiedBy>
  <cp:lastPrinted>2025-06-14T17:13:00Z</cp:lastPrinted>
  <dcterms:modified xsi:type="dcterms:W3CDTF">2025-06-16T08:56:04Z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eyJoZGlkIjoiNWM2NWQ4Yzc2ODRmMjkxNjA5MzQ4NTVjMjAzNDYwMTQiLCJ1c2VySWQiOiI0MTQwNjcxMDIifQ==</vt:lpwstr>
  </property>
  <property fmtid="{D5CDD505-2E9C-101B-9397-08002B2CF9AE}" pid="4" name="ICV">
    <vt:lpwstr>49FDA2CF924249D0A7AAB2282D588959_12</vt:lpwstr>
  </property>
</Properties>
</file>