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2CA4D"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附件6</w:t>
      </w:r>
    </w:p>
    <w:p w14:paraId="62C7331B">
      <w:pPr>
        <w:rPr>
          <w:rFonts w:hint="eastAsia"/>
        </w:rPr>
      </w:pPr>
    </w:p>
    <w:p w14:paraId="58B15F27">
      <w:pPr>
        <w:spacing w:line="6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江西省工伤保险辅助器具配置协议机构</w:t>
      </w:r>
    </w:p>
    <w:p w14:paraId="547AB05C">
      <w:pPr>
        <w:spacing w:line="6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资质评估表</w:t>
      </w:r>
    </w:p>
    <w:p w14:paraId="799880C5">
      <w:pPr>
        <w:spacing w:line="240" w:lineRule="exact"/>
        <w:ind w:firstLine="318"/>
        <w:rPr>
          <w:rFonts w:hint="eastAsia"/>
        </w:rPr>
      </w:pPr>
    </w:p>
    <w:p w14:paraId="1BA0360A">
      <w:pPr>
        <w:spacing w:line="400" w:lineRule="exact"/>
        <w:rPr>
          <w:rFonts w:hint="eastAsia" w:ascii="宋体" w:hAnsi="宋体" w:eastAsia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bidi="ar"/>
        </w:rPr>
        <w:t>申请机构：                             评估日期：</w:t>
      </w:r>
    </w:p>
    <w:tbl>
      <w:tblPr>
        <w:tblStyle w:val="5"/>
        <w:tblW w:w="9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634"/>
        <w:gridCol w:w="885"/>
        <w:gridCol w:w="716"/>
        <w:gridCol w:w="1521"/>
      </w:tblGrid>
      <w:tr w14:paraId="215C6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noWrap w:val="0"/>
            <w:vAlign w:val="center"/>
          </w:tcPr>
          <w:p w14:paraId="09E7CF60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项目</w:t>
            </w:r>
          </w:p>
        </w:tc>
        <w:tc>
          <w:tcPr>
            <w:tcW w:w="5634" w:type="dxa"/>
            <w:noWrap w:val="0"/>
            <w:vAlign w:val="center"/>
          </w:tcPr>
          <w:p w14:paraId="01DE3EE1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具体明细</w:t>
            </w:r>
          </w:p>
        </w:tc>
        <w:tc>
          <w:tcPr>
            <w:tcW w:w="885" w:type="dxa"/>
            <w:noWrap w:val="0"/>
            <w:vAlign w:val="center"/>
          </w:tcPr>
          <w:p w14:paraId="4378F082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分值</w:t>
            </w:r>
          </w:p>
        </w:tc>
        <w:tc>
          <w:tcPr>
            <w:tcW w:w="716" w:type="dxa"/>
            <w:noWrap w:val="0"/>
            <w:vAlign w:val="center"/>
          </w:tcPr>
          <w:p w14:paraId="73575B06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得分</w:t>
            </w:r>
          </w:p>
        </w:tc>
        <w:tc>
          <w:tcPr>
            <w:tcW w:w="1521" w:type="dxa"/>
            <w:noWrap w:val="0"/>
            <w:vAlign w:val="center"/>
          </w:tcPr>
          <w:p w14:paraId="6D5EC006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备注</w:t>
            </w:r>
          </w:p>
        </w:tc>
      </w:tr>
      <w:tr w14:paraId="69B6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5D01CF83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基本设置</w:t>
            </w:r>
          </w:p>
        </w:tc>
        <w:tc>
          <w:tcPr>
            <w:tcW w:w="5634" w:type="dxa"/>
            <w:noWrap w:val="0"/>
            <w:vAlign w:val="center"/>
          </w:tcPr>
          <w:p w14:paraId="2AA76435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  <w:lang w:bidi="ar"/>
              </w:rPr>
              <w:t>正式运营3个月以上。</w:t>
            </w:r>
          </w:p>
        </w:tc>
        <w:tc>
          <w:tcPr>
            <w:tcW w:w="885" w:type="dxa"/>
            <w:noWrap w:val="0"/>
            <w:vAlign w:val="center"/>
          </w:tcPr>
          <w:p w14:paraId="145B2A9E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单项</w:t>
            </w:r>
          </w:p>
          <w:p w14:paraId="294672E1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否决</w:t>
            </w:r>
          </w:p>
        </w:tc>
        <w:tc>
          <w:tcPr>
            <w:tcW w:w="716" w:type="dxa"/>
            <w:noWrap w:val="0"/>
            <w:vAlign w:val="center"/>
          </w:tcPr>
          <w:p w14:paraId="24EEFF94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21" w:type="dxa"/>
            <w:noWrap w:val="0"/>
            <w:vAlign w:val="center"/>
          </w:tcPr>
          <w:p w14:paraId="2FD40664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48EFA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77CAE7ED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38B3B709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具备独立法人资格，持有效《营业执照》或事业单位法人证书，其中，承担配置辅助器具的医疗机构须为二级以上工伤保险协议医疗机构。</w:t>
            </w:r>
          </w:p>
        </w:tc>
        <w:tc>
          <w:tcPr>
            <w:tcW w:w="885" w:type="dxa"/>
            <w:noWrap w:val="0"/>
            <w:vAlign w:val="center"/>
          </w:tcPr>
          <w:p w14:paraId="62589871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单项</w:t>
            </w:r>
          </w:p>
          <w:p w14:paraId="537130BD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否决</w:t>
            </w:r>
          </w:p>
        </w:tc>
        <w:tc>
          <w:tcPr>
            <w:tcW w:w="716" w:type="dxa"/>
            <w:noWrap w:val="0"/>
            <w:vAlign w:val="center"/>
          </w:tcPr>
          <w:p w14:paraId="7E534619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21" w:type="dxa"/>
            <w:noWrap w:val="0"/>
            <w:vAlign w:val="center"/>
          </w:tcPr>
          <w:p w14:paraId="6E8DCA73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25EE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0DC1E83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5D61DF2C"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有稳定的执业场所，执业场所使用权剩余有效期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年以上（从递交申请资料之日起计算）。</w:t>
            </w:r>
          </w:p>
        </w:tc>
        <w:tc>
          <w:tcPr>
            <w:tcW w:w="885" w:type="dxa"/>
            <w:noWrap w:val="0"/>
            <w:vAlign w:val="center"/>
          </w:tcPr>
          <w:p w14:paraId="003289CB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单项</w:t>
            </w:r>
          </w:p>
          <w:p w14:paraId="5DFD6494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否决</w:t>
            </w:r>
          </w:p>
        </w:tc>
        <w:tc>
          <w:tcPr>
            <w:tcW w:w="716" w:type="dxa"/>
            <w:noWrap w:val="0"/>
            <w:vAlign w:val="center"/>
          </w:tcPr>
          <w:p w14:paraId="2E84B226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21" w:type="dxa"/>
            <w:noWrap w:val="0"/>
            <w:vAlign w:val="center"/>
          </w:tcPr>
          <w:p w14:paraId="2765018E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02BA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472845DC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741A7F62"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申报资料与事实相符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执业范围未超过许可范围；经营地址与所持有效证件登记地址相符等。</w:t>
            </w:r>
          </w:p>
        </w:tc>
        <w:tc>
          <w:tcPr>
            <w:tcW w:w="885" w:type="dxa"/>
            <w:noWrap w:val="0"/>
            <w:vAlign w:val="center"/>
          </w:tcPr>
          <w:p w14:paraId="27B87999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单项</w:t>
            </w:r>
          </w:p>
          <w:p w14:paraId="09C6532C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否决</w:t>
            </w:r>
          </w:p>
        </w:tc>
        <w:tc>
          <w:tcPr>
            <w:tcW w:w="716" w:type="dxa"/>
            <w:noWrap w:val="0"/>
            <w:vAlign w:val="center"/>
          </w:tcPr>
          <w:p w14:paraId="0C5EA25E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21" w:type="dxa"/>
            <w:noWrap w:val="0"/>
            <w:vAlign w:val="center"/>
          </w:tcPr>
          <w:p w14:paraId="4D96FB29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28F1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234DA7D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7D3F4D57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依法参加社会保险。</w:t>
            </w:r>
          </w:p>
        </w:tc>
        <w:tc>
          <w:tcPr>
            <w:tcW w:w="885" w:type="dxa"/>
            <w:noWrap w:val="0"/>
            <w:vAlign w:val="center"/>
          </w:tcPr>
          <w:p w14:paraId="76B9FCA6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单项</w:t>
            </w:r>
          </w:p>
          <w:p w14:paraId="0AA09CFE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否决</w:t>
            </w:r>
          </w:p>
        </w:tc>
        <w:tc>
          <w:tcPr>
            <w:tcW w:w="716" w:type="dxa"/>
            <w:noWrap w:val="0"/>
            <w:vAlign w:val="center"/>
          </w:tcPr>
          <w:p w14:paraId="341D0992"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21" w:type="dxa"/>
            <w:noWrap w:val="0"/>
            <w:vAlign w:val="center"/>
          </w:tcPr>
          <w:p w14:paraId="58A6FAF3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73AF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4E255C3B"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辅助器具配置能力（30分）</w:t>
            </w:r>
          </w:p>
        </w:tc>
        <w:tc>
          <w:tcPr>
            <w:tcW w:w="5634" w:type="dxa"/>
            <w:noWrap w:val="0"/>
            <w:vAlign w:val="center"/>
          </w:tcPr>
          <w:p w14:paraId="1DAEC519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服务设施符合辅助器具配置机构和消防安全、卫生、环保等基本要求。</w:t>
            </w:r>
          </w:p>
        </w:tc>
        <w:tc>
          <w:tcPr>
            <w:tcW w:w="885" w:type="dxa"/>
            <w:noWrap w:val="0"/>
            <w:vAlign w:val="center"/>
          </w:tcPr>
          <w:p w14:paraId="73AA1165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18分</w:t>
            </w:r>
          </w:p>
        </w:tc>
        <w:tc>
          <w:tcPr>
            <w:tcW w:w="716" w:type="dxa"/>
            <w:noWrap w:val="0"/>
            <w:vAlign w:val="center"/>
          </w:tcPr>
          <w:p w14:paraId="32BB1629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65F8145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2A6CD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2F269638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6A49054F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有专业的假肢、矫形器技师团队，取得假肢和矫形器执业资格证书的专业技术人员，民政行业特有工种职业资格证书的假肢或矫形器装配工；有符合国家规定的制作假肢、矫形器的设备。</w:t>
            </w:r>
          </w:p>
        </w:tc>
        <w:tc>
          <w:tcPr>
            <w:tcW w:w="885" w:type="dxa"/>
            <w:noWrap w:val="0"/>
            <w:vAlign w:val="center"/>
          </w:tcPr>
          <w:p w14:paraId="6BF67758">
            <w:pPr>
              <w:spacing w:line="360" w:lineRule="exact"/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12分</w:t>
            </w:r>
          </w:p>
        </w:tc>
        <w:tc>
          <w:tcPr>
            <w:tcW w:w="716" w:type="dxa"/>
            <w:noWrap w:val="0"/>
            <w:vAlign w:val="center"/>
          </w:tcPr>
          <w:p w14:paraId="346A8474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E88EADF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024E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4D43DCB7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信息化</w:t>
            </w:r>
          </w:p>
          <w:p w14:paraId="7DF0955B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建设</w:t>
            </w:r>
          </w:p>
          <w:p w14:paraId="4FD86941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（20分）</w:t>
            </w:r>
          </w:p>
        </w:tc>
        <w:tc>
          <w:tcPr>
            <w:tcW w:w="5634" w:type="dxa"/>
            <w:noWrap w:val="0"/>
            <w:vAlign w:val="center"/>
          </w:tcPr>
          <w:p w14:paraId="736903ED"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有健全和完善的信息化管理制度，有完善齐全的软硬件系统设备，对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辅助器具配置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服务过程实行全流程信息化管理。</w:t>
            </w:r>
          </w:p>
        </w:tc>
        <w:tc>
          <w:tcPr>
            <w:tcW w:w="885" w:type="dxa"/>
            <w:noWrap w:val="0"/>
            <w:vAlign w:val="center"/>
          </w:tcPr>
          <w:p w14:paraId="4BCCB8F7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20分</w:t>
            </w:r>
          </w:p>
        </w:tc>
        <w:tc>
          <w:tcPr>
            <w:tcW w:w="716" w:type="dxa"/>
            <w:noWrap w:val="0"/>
            <w:vAlign w:val="center"/>
          </w:tcPr>
          <w:p w14:paraId="77DB3362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1DD4D6E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1622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6D1D3C8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1DF00E06"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具备与我省社会保险信息系统联网条件，能够为工伤职工提供辅助器具配置费即时结算服务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  <w:tc>
          <w:tcPr>
            <w:tcW w:w="885" w:type="dxa"/>
            <w:noWrap w:val="0"/>
            <w:vAlign w:val="center"/>
          </w:tcPr>
          <w:p w14:paraId="4820DF22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单项</w:t>
            </w:r>
          </w:p>
          <w:p w14:paraId="67E9B6CA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否决</w:t>
            </w:r>
          </w:p>
        </w:tc>
        <w:tc>
          <w:tcPr>
            <w:tcW w:w="716" w:type="dxa"/>
            <w:noWrap w:val="0"/>
            <w:vAlign w:val="center"/>
          </w:tcPr>
          <w:p w14:paraId="6E80AFE8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1521" w:type="dxa"/>
            <w:noWrap w:val="0"/>
            <w:vAlign w:val="center"/>
          </w:tcPr>
          <w:p w14:paraId="61389C92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5005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36984277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内部管理（20分）</w:t>
            </w:r>
          </w:p>
        </w:tc>
        <w:tc>
          <w:tcPr>
            <w:tcW w:w="5634" w:type="dxa"/>
            <w:noWrap w:val="0"/>
            <w:vAlign w:val="center"/>
          </w:tcPr>
          <w:p w14:paraId="3D775A71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有健全和完善的财务管理制度、财务会计管理制度，对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康复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机构财务活动进行全面管理，建立监督内控机制。</w:t>
            </w:r>
          </w:p>
        </w:tc>
        <w:tc>
          <w:tcPr>
            <w:tcW w:w="885" w:type="dxa"/>
            <w:noWrap w:val="0"/>
            <w:vAlign w:val="center"/>
          </w:tcPr>
          <w:p w14:paraId="4338A339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3分</w:t>
            </w:r>
          </w:p>
        </w:tc>
        <w:tc>
          <w:tcPr>
            <w:tcW w:w="716" w:type="dxa"/>
            <w:noWrap w:val="0"/>
            <w:vAlign w:val="center"/>
          </w:tcPr>
          <w:p w14:paraId="1DF000D6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42928679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4001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24411D40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174D06EC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有健全完善的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辅助器具配置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服务管理制度；遵守国家有关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辅助器具配置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管理的法规和标准，明确常规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辅助器具配置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操作技术规范和质量标准。</w:t>
            </w:r>
          </w:p>
        </w:tc>
        <w:tc>
          <w:tcPr>
            <w:tcW w:w="885" w:type="dxa"/>
            <w:noWrap w:val="0"/>
            <w:vAlign w:val="center"/>
          </w:tcPr>
          <w:p w14:paraId="7DFC0D00">
            <w:pPr>
              <w:spacing w:line="360" w:lineRule="exact"/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5分</w:t>
            </w:r>
          </w:p>
        </w:tc>
        <w:tc>
          <w:tcPr>
            <w:tcW w:w="716" w:type="dxa"/>
            <w:noWrap w:val="0"/>
            <w:vAlign w:val="center"/>
          </w:tcPr>
          <w:p w14:paraId="6111B5F3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3B68DA5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2C88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46" w:type="dxa"/>
            <w:noWrap w:val="0"/>
            <w:vAlign w:val="center"/>
          </w:tcPr>
          <w:p w14:paraId="1FB64072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项目</w:t>
            </w:r>
          </w:p>
        </w:tc>
        <w:tc>
          <w:tcPr>
            <w:tcW w:w="5634" w:type="dxa"/>
            <w:noWrap w:val="0"/>
            <w:vAlign w:val="center"/>
          </w:tcPr>
          <w:p w14:paraId="5118BC15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具体明细</w:t>
            </w:r>
          </w:p>
        </w:tc>
        <w:tc>
          <w:tcPr>
            <w:tcW w:w="885" w:type="dxa"/>
            <w:noWrap w:val="0"/>
            <w:vAlign w:val="center"/>
          </w:tcPr>
          <w:p w14:paraId="08F70385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分值</w:t>
            </w:r>
          </w:p>
        </w:tc>
        <w:tc>
          <w:tcPr>
            <w:tcW w:w="716" w:type="dxa"/>
            <w:noWrap w:val="0"/>
            <w:vAlign w:val="center"/>
          </w:tcPr>
          <w:p w14:paraId="1EA10A27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得分</w:t>
            </w:r>
          </w:p>
        </w:tc>
        <w:tc>
          <w:tcPr>
            <w:tcW w:w="1521" w:type="dxa"/>
            <w:noWrap w:val="0"/>
            <w:vAlign w:val="center"/>
          </w:tcPr>
          <w:p w14:paraId="6ED5C42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仿宋_GB2312"/>
                <w:sz w:val="18"/>
                <w:szCs w:val="18"/>
              </w:rPr>
              <w:t>备注</w:t>
            </w:r>
          </w:p>
        </w:tc>
      </w:tr>
      <w:tr w14:paraId="3AA3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7BD1B1E4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内部管理（20分）</w:t>
            </w:r>
          </w:p>
        </w:tc>
        <w:tc>
          <w:tcPr>
            <w:tcW w:w="5634" w:type="dxa"/>
            <w:noWrap w:val="0"/>
            <w:vAlign w:val="center"/>
          </w:tcPr>
          <w:p w14:paraId="065D101A">
            <w:pPr>
              <w:spacing w:line="360" w:lineRule="exact"/>
              <w:jc w:val="left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健全的设备管理制度，各种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检查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设备、器材建立规范的账目，主要设备有建立档案。</w:t>
            </w:r>
          </w:p>
        </w:tc>
        <w:tc>
          <w:tcPr>
            <w:tcW w:w="885" w:type="dxa"/>
            <w:noWrap w:val="0"/>
            <w:vAlign w:val="center"/>
          </w:tcPr>
          <w:p w14:paraId="0FEEFB69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3分</w:t>
            </w:r>
          </w:p>
        </w:tc>
        <w:tc>
          <w:tcPr>
            <w:tcW w:w="716" w:type="dxa"/>
            <w:noWrap w:val="0"/>
            <w:vAlign w:val="center"/>
          </w:tcPr>
          <w:p w14:paraId="288023F0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241631A8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</w:tr>
      <w:tr w14:paraId="59DE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6EE05E91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79D222DD">
            <w:pPr>
              <w:spacing w:line="360" w:lineRule="exact"/>
              <w:jc w:val="left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建立了与工伤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辅助器具配置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管理相适应的内部管理制度，配备了专（兼）职管理人员。</w:t>
            </w:r>
          </w:p>
        </w:tc>
        <w:tc>
          <w:tcPr>
            <w:tcW w:w="885" w:type="dxa"/>
            <w:noWrap w:val="0"/>
            <w:vAlign w:val="center"/>
          </w:tcPr>
          <w:p w14:paraId="519A57F4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3分</w:t>
            </w:r>
          </w:p>
        </w:tc>
        <w:tc>
          <w:tcPr>
            <w:tcW w:w="716" w:type="dxa"/>
            <w:noWrap w:val="0"/>
            <w:vAlign w:val="center"/>
          </w:tcPr>
          <w:p w14:paraId="7242BCC6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3E3C552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</w:tr>
      <w:tr w14:paraId="075E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74F4275B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75857524"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辅助器具配置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机构干净整洁，无乱贴乱挂，功能分区合理。</w:t>
            </w:r>
          </w:p>
        </w:tc>
        <w:tc>
          <w:tcPr>
            <w:tcW w:w="885" w:type="dxa"/>
            <w:noWrap w:val="0"/>
            <w:vAlign w:val="center"/>
          </w:tcPr>
          <w:p w14:paraId="2161CEAB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3分</w:t>
            </w:r>
          </w:p>
        </w:tc>
        <w:tc>
          <w:tcPr>
            <w:tcW w:w="716" w:type="dxa"/>
            <w:noWrap w:val="0"/>
            <w:vAlign w:val="center"/>
          </w:tcPr>
          <w:p w14:paraId="45CD3A52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63FE331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</w:tr>
      <w:tr w14:paraId="7FAD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3E521B67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60FDF9AA">
            <w:pPr>
              <w:widowControl/>
              <w:spacing w:line="320" w:lineRule="exact"/>
              <w:jc w:val="left"/>
              <w:textAlignment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设立单独的业务档案室，病历管理质量均为合格。</w:t>
            </w:r>
          </w:p>
        </w:tc>
        <w:tc>
          <w:tcPr>
            <w:tcW w:w="885" w:type="dxa"/>
            <w:noWrap w:val="0"/>
            <w:vAlign w:val="center"/>
          </w:tcPr>
          <w:p w14:paraId="2994CD6B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3分</w:t>
            </w:r>
          </w:p>
        </w:tc>
        <w:tc>
          <w:tcPr>
            <w:tcW w:w="716" w:type="dxa"/>
            <w:noWrap w:val="0"/>
            <w:vAlign w:val="center"/>
          </w:tcPr>
          <w:p w14:paraId="5AA58257">
            <w:pPr>
              <w:spacing w:line="360" w:lineRule="exact"/>
              <w:jc w:val="center"/>
              <w:rPr>
                <w:rFonts w:hint="eastAsia" w:ascii="黑体" w:hAnsi="黑体" w:eastAsia="黑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6CBA035">
            <w:pPr>
              <w:spacing w:line="360" w:lineRule="exact"/>
              <w:jc w:val="left"/>
              <w:rPr>
                <w:rFonts w:hint="eastAsia" w:ascii="黑体" w:hAnsi="黑体" w:eastAsia="黑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  <w:lang w:bidi="ar"/>
              </w:rPr>
              <w:t>每确定1份不合格病历扣1分，扣完为止。</w:t>
            </w:r>
          </w:p>
        </w:tc>
      </w:tr>
      <w:tr w14:paraId="1BAD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73976340">
            <w:pPr>
              <w:spacing w:line="360" w:lineRule="exact"/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价格管理（20分）</w:t>
            </w:r>
          </w:p>
        </w:tc>
        <w:tc>
          <w:tcPr>
            <w:tcW w:w="5634" w:type="dxa"/>
            <w:noWrap w:val="0"/>
            <w:vAlign w:val="center"/>
          </w:tcPr>
          <w:p w14:paraId="6229A92F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遵守国家和省相关部门规定的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bidi="ar"/>
              </w:rPr>
              <w:t>辅助器具配置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的价格政策；公示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bidi="ar"/>
              </w:rPr>
              <w:t>辅助器具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价格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bidi="ar"/>
              </w:rPr>
              <w:t>及服务收费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信息。</w:t>
            </w:r>
          </w:p>
        </w:tc>
        <w:tc>
          <w:tcPr>
            <w:tcW w:w="885" w:type="dxa"/>
            <w:noWrap w:val="0"/>
            <w:vAlign w:val="center"/>
          </w:tcPr>
          <w:p w14:paraId="123A36CD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10分</w:t>
            </w:r>
          </w:p>
        </w:tc>
        <w:tc>
          <w:tcPr>
            <w:tcW w:w="716" w:type="dxa"/>
            <w:noWrap w:val="0"/>
            <w:vAlign w:val="center"/>
          </w:tcPr>
          <w:p w14:paraId="374E6BF5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5EE0F708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各占5分。</w:t>
            </w:r>
          </w:p>
        </w:tc>
      </w:tr>
      <w:tr w14:paraId="7FE26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016D030B">
            <w:pPr>
              <w:spacing w:line="360" w:lineRule="exact"/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42BAB597">
            <w:pPr>
              <w:spacing w:line="360" w:lineRule="exact"/>
              <w:jc w:val="left"/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按规定提供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bidi="ar"/>
              </w:rPr>
              <w:t>辅助器具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、服务收费清单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建立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自费项目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知情同意制度。</w:t>
            </w:r>
          </w:p>
        </w:tc>
        <w:tc>
          <w:tcPr>
            <w:tcW w:w="885" w:type="dxa"/>
            <w:noWrap w:val="0"/>
            <w:vAlign w:val="center"/>
          </w:tcPr>
          <w:p w14:paraId="406ADBF1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10分</w:t>
            </w:r>
          </w:p>
        </w:tc>
        <w:tc>
          <w:tcPr>
            <w:tcW w:w="716" w:type="dxa"/>
            <w:noWrap w:val="0"/>
            <w:vAlign w:val="center"/>
          </w:tcPr>
          <w:p w14:paraId="5E1046F5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5D899A5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随机抽查，未按规定的，每发现1个扣1分，扣完为止。</w:t>
            </w:r>
          </w:p>
        </w:tc>
      </w:tr>
      <w:tr w14:paraId="315B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46" w:type="dxa"/>
            <w:vMerge w:val="restart"/>
            <w:noWrap w:val="0"/>
            <w:vAlign w:val="center"/>
          </w:tcPr>
          <w:p w14:paraId="21B9B65A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便捷服务与投诉（10分）</w:t>
            </w:r>
          </w:p>
        </w:tc>
        <w:tc>
          <w:tcPr>
            <w:tcW w:w="5634" w:type="dxa"/>
            <w:noWrap w:val="0"/>
            <w:vAlign w:val="center"/>
          </w:tcPr>
          <w:p w14:paraId="68398266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强化服务意识，采取便民措施，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bidi="ar"/>
              </w:rPr>
              <w:t>设置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指示牌、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bidi="ar"/>
              </w:rPr>
              <w:t>公布配置服务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bidi="ar"/>
              </w:rPr>
              <w:t>流程、专家姓名和联系方式，方便工伤职工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bidi="ar"/>
              </w:rPr>
              <w:t>配置辅助器具</w:t>
            </w:r>
            <w:r>
              <w:rPr>
                <w:rFonts w:hint="eastAsia" w:ascii="宋体" w:hAnsi="宋体" w:eastAsia="宋体" w:cs="仿宋_GB2312"/>
                <w:sz w:val="18"/>
                <w:szCs w:val="18"/>
              </w:rPr>
              <w:t>。</w:t>
            </w:r>
          </w:p>
        </w:tc>
        <w:tc>
          <w:tcPr>
            <w:tcW w:w="885" w:type="dxa"/>
            <w:noWrap w:val="0"/>
            <w:vAlign w:val="center"/>
          </w:tcPr>
          <w:p w14:paraId="69E61D7D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5分</w:t>
            </w:r>
          </w:p>
        </w:tc>
        <w:tc>
          <w:tcPr>
            <w:tcW w:w="716" w:type="dxa"/>
            <w:noWrap w:val="0"/>
            <w:vAlign w:val="center"/>
          </w:tcPr>
          <w:p w14:paraId="3A11D732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54D86C6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7890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 w14:paraId="72F1AE47">
            <w:pPr>
              <w:spacing w:line="360" w:lineRule="exact"/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5634" w:type="dxa"/>
            <w:noWrap w:val="0"/>
            <w:vAlign w:val="center"/>
          </w:tcPr>
          <w:p w14:paraId="5993E91D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  <w:lang w:bidi="ar"/>
              </w:rPr>
              <w:t>建立健全</w:t>
            </w:r>
            <w:r>
              <w:rPr>
                <w:rFonts w:hint="eastAsia" w:ascii="宋体" w:hAnsi="宋体" w:eastAsia="宋体"/>
                <w:sz w:val="18"/>
                <w:szCs w:val="18"/>
                <w:lang w:bidi="ar"/>
              </w:rPr>
              <w:t>服务</w:t>
            </w:r>
            <w:r>
              <w:rPr>
                <w:rFonts w:ascii="宋体" w:hAnsi="宋体" w:eastAsia="宋体"/>
                <w:sz w:val="18"/>
                <w:szCs w:val="18"/>
                <w:lang w:bidi="ar"/>
              </w:rPr>
              <w:t>纠纷投诉和处理</w:t>
            </w:r>
            <w:r>
              <w:rPr>
                <w:rFonts w:hint="eastAsia" w:ascii="宋体" w:hAnsi="宋体" w:eastAsia="宋体"/>
                <w:sz w:val="18"/>
                <w:szCs w:val="18"/>
                <w:lang w:bidi="ar"/>
              </w:rPr>
              <w:t>机制</w:t>
            </w:r>
            <w:r>
              <w:rPr>
                <w:rFonts w:ascii="宋体" w:hAnsi="宋体" w:eastAsia="宋体"/>
                <w:sz w:val="18"/>
                <w:szCs w:val="18"/>
                <w:lang w:bidi="ar"/>
              </w:rPr>
              <w:t>，并有专人负责，公布投诉电话、信箱，畅通投诉渠道，及时受理、处置</w:t>
            </w:r>
            <w:r>
              <w:rPr>
                <w:rFonts w:hint="eastAsia" w:ascii="宋体" w:hAnsi="宋体" w:eastAsia="宋体"/>
                <w:sz w:val="18"/>
                <w:szCs w:val="18"/>
                <w:lang w:bidi="ar"/>
              </w:rPr>
              <w:t>工伤职工</w:t>
            </w:r>
            <w:r>
              <w:rPr>
                <w:rFonts w:ascii="宋体" w:hAnsi="宋体" w:eastAsia="宋体"/>
                <w:sz w:val="18"/>
                <w:szCs w:val="18"/>
                <w:lang w:bidi="ar"/>
              </w:rPr>
              <w:t>投诉。</w:t>
            </w:r>
          </w:p>
        </w:tc>
        <w:tc>
          <w:tcPr>
            <w:tcW w:w="885" w:type="dxa"/>
            <w:noWrap w:val="0"/>
            <w:vAlign w:val="center"/>
          </w:tcPr>
          <w:p w14:paraId="0D9EB0E0">
            <w:pPr>
              <w:spacing w:line="360" w:lineRule="exact"/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5分</w:t>
            </w:r>
          </w:p>
        </w:tc>
        <w:tc>
          <w:tcPr>
            <w:tcW w:w="716" w:type="dxa"/>
            <w:noWrap w:val="0"/>
            <w:vAlign w:val="center"/>
          </w:tcPr>
          <w:p w14:paraId="63597E08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0B6E780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  <w:tr w14:paraId="2D2A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46" w:type="dxa"/>
            <w:noWrap w:val="0"/>
            <w:vAlign w:val="center"/>
          </w:tcPr>
          <w:p w14:paraId="4E14F437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总分</w:t>
            </w:r>
          </w:p>
        </w:tc>
        <w:tc>
          <w:tcPr>
            <w:tcW w:w="5634" w:type="dxa"/>
            <w:noWrap w:val="0"/>
            <w:vAlign w:val="center"/>
          </w:tcPr>
          <w:p w14:paraId="2DA5A1A3">
            <w:pPr>
              <w:spacing w:line="360" w:lineRule="exact"/>
              <w:jc w:val="left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1813EE1">
            <w:pPr>
              <w:spacing w:line="360" w:lineRule="exact"/>
              <w:jc w:val="center"/>
              <w:rPr>
                <w:rFonts w:ascii="宋体" w:hAnsi="宋体" w:eastAsia="宋体" w:cs="仿宋_GB2312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sz w:val="18"/>
                <w:szCs w:val="18"/>
              </w:rPr>
              <w:t>100分</w:t>
            </w:r>
          </w:p>
        </w:tc>
        <w:tc>
          <w:tcPr>
            <w:tcW w:w="716" w:type="dxa"/>
            <w:noWrap w:val="0"/>
            <w:vAlign w:val="center"/>
          </w:tcPr>
          <w:p w14:paraId="557B8C61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076BC664">
            <w:pPr>
              <w:spacing w:line="360" w:lineRule="exact"/>
              <w:jc w:val="center"/>
              <w:rPr>
                <w:rFonts w:hint="eastAsia" w:ascii="宋体" w:hAnsi="宋体" w:eastAsia="宋体" w:cs="仿宋_GB2312"/>
                <w:sz w:val="18"/>
                <w:szCs w:val="18"/>
              </w:rPr>
            </w:pPr>
          </w:p>
        </w:tc>
      </w:tr>
    </w:tbl>
    <w:p w14:paraId="40DFD96A">
      <w:pPr>
        <w:jc w:val="left"/>
        <w:rPr>
          <w:color w:val="000000"/>
          <w:kern w:val="0"/>
          <w:sz w:val="22"/>
          <w:szCs w:val="22"/>
          <w:lang w:bidi="ar"/>
        </w:rPr>
      </w:pPr>
      <w:r>
        <w:rPr>
          <w:rFonts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color w:val="000000"/>
          <w:kern w:val="0"/>
          <w:sz w:val="22"/>
          <w:szCs w:val="22"/>
          <w:lang w:bidi="ar"/>
        </w:rPr>
        <w:t>备注：得分达到90分（含）以上的为合格。</w:t>
      </w:r>
    </w:p>
    <w:p w14:paraId="0ADA9CEE">
      <w:pPr>
        <w:spacing w:line="3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评估人签字：</w:t>
      </w:r>
    </w:p>
    <w:p w14:paraId="1B039CC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5711F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2025-04-15T06:28:26Z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