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E3D77"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5</w:t>
      </w:r>
    </w:p>
    <w:p w14:paraId="2848E105">
      <w:pPr>
        <w:rPr>
          <w:rFonts w:hint="eastAsia"/>
        </w:rPr>
      </w:pPr>
    </w:p>
    <w:p w14:paraId="3ADDB6B9">
      <w:pPr>
        <w:adjustRightInd w:val="0"/>
        <w:spacing w:line="6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江西省工伤保险康复协议机构资质评估表</w:t>
      </w:r>
    </w:p>
    <w:p w14:paraId="0742D9D9">
      <w:pPr>
        <w:spacing w:line="240" w:lineRule="exact"/>
        <w:rPr>
          <w:rFonts w:hint="eastAsia"/>
        </w:rPr>
      </w:pPr>
    </w:p>
    <w:p w14:paraId="50A83B6A"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bidi="ar"/>
        </w:rPr>
        <w:t>申请机构</w:t>
      </w:r>
      <w:r>
        <w:rPr>
          <w:rFonts w:ascii="宋体" w:hAnsi="宋体" w:eastAsia="宋体"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bidi="ar"/>
        </w:rPr>
        <w:t xml:space="preserve">                               </w:t>
      </w:r>
      <w:r>
        <w:rPr>
          <w:rFonts w:ascii="宋体" w:hAnsi="宋体" w:eastAsia="宋体"/>
          <w:color w:val="000000"/>
          <w:kern w:val="0"/>
          <w:sz w:val="28"/>
          <w:szCs w:val="28"/>
          <w:lang w:bidi="ar"/>
        </w:rPr>
        <w:t>评估日期：</w:t>
      </w:r>
    </w:p>
    <w:tbl>
      <w:tblPr>
        <w:tblStyle w:val="5"/>
        <w:tblW w:w="10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674"/>
        <w:gridCol w:w="799"/>
        <w:gridCol w:w="796"/>
        <w:gridCol w:w="1638"/>
      </w:tblGrid>
      <w:tr w14:paraId="1D8F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3B16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D39A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具体明细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96C8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CBCE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D053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4845B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84F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基本设置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313A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正式运营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三个月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以上。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6BE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7F628FE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35E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2DA0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9E7D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013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5953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具备二级以上康复医院（专科机构）条件或三级综合医疗机构资质，其中医疗机构需有医疗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保障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定点服务资格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" w:bidi="ar"/>
              </w:rPr>
              <w:t>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600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08F0F28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635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53F3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E97D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F00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C71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有稳定的执业场所，执业场所使用权剩余有效期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年以上（从递交申请资料之日起计算）。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318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5E1148C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608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484A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8888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D8F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E03A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申报资料与事实相符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执业范围未超过许可范围；科室设置未超过批准；经营地址与所持有效证件登记地址相符等。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307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6FB065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2DF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9F24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E4D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38E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C3D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依法参加社会保险。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DB9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6425422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ECF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91DF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21D4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BD5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服务</w:t>
            </w:r>
          </w:p>
          <w:p w14:paraId="3A1BC1F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能力</w:t>
            </w:r>
          </w:p>
          <w:p w14:paraId="6825AC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（30分）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CE7F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机构等级、科室设置、医务人员、床位数与医护比等符合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机构基本标准。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5D3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18分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0DD5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A321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0BB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0E4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2AF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在工伤康复方面具有专业技术优势，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在本地区处于领先水平。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D7E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12分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99FE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5C49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三级康复专科机构7-12分，三级综合医疗机构4-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val="en" w:bidi="ar"/>
              </w:rPr>
              <w:t>10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分，二级康复专科机构1-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val="en" w:bidi="ar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14:paraId="51EC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6AB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信息化建设（20分）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CA2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有健全和完善的信息化管理制度，有完善齐全的软硬件系统设备，对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服务过程实行全流程信息化管理。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263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20分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3B25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B2C7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C35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DE9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B547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具备与江西省社会保险信息系统联网条件，能够为工伤职工提供工伤康复费即时结算服务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DB7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单项</w:t>
            </w:r>
          </w:p>
          <w:p w14:paraId="39C38F24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否决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65FB">
            <w:pPr>
              <w:widowControl/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C2A4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C8CE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D475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986A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具体明细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2CBB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218B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得分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B28C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5FD78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BB1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内部管理（20分）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5145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有健全和完善的财务管理制度、财务会计管理制度，对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机构财务活动进行全面管理，建立监督内控机制。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E76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A141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E8E1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EB41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D3FA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615C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有健全完善的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服务管理制度；遵守国家有关医疗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、康复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服务和职业病防治管理的法规和标准，明确常规医疗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、康复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护理技术操作技术规范和质量标准。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597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E518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8EEB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B5A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0AA5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63C7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健全的设备管理制度，各种医疗设备、器材建立规范的账目，主要设备有建立档案。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E6C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9EBE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2FE7"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1AEC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3DB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7C859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建立了与工伤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管理相适应的内部管理制度，配备了专（兼）职管理人员。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B740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E17E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6CB4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231C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550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B3E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机构干净整洁，无乱贴乱挂，功能分区合理。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77F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D355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F1EE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6CF0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C81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FA1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设立单独的业务档案室，病历管理质量均为合格。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C5A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9D4C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9B2B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每确定1份不合格病历扣1分，扣完为止。</w:t>
            </w:r>
          </w:p>
        </w:tc>
      </w:tr>
      <w:tr w14:paraId="53A16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EFF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价格管理（20分）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DEB1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遵守国家和省相关部门规定的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服务和药品的价格政策；公示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服务和药品价格信息及政府指导价的。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ABC6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0FA1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F92C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各占5分。</w:t>
            </w:r>
          </w:p>
        </w:tc>
      </w:tr>
      <w:tr w14:paraId="596FD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6A1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FF0B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按规定提供药品、检查、治疗、服务收费清单；建立日清单及出院结算明细单制度；建立自费项目、药品知情确认制度。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AA0F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306E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D80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随机抽查，未按规定的，每发现1个扣1分，扣完为止。</w:t>
            </w:r>
          </w:p>
        </w:tc>
      </w:tr>
      <w:tr w14:paraId="68697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B46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便捷服务</w:t>
            </w:r>
          </w:p>
          <w:p w14:paraId="4761D20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与投诉</w:t>
            </w:r>
          </w:p>
          <w:p w14:paraId="6DD1F40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0A4A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设立导诊台、触摸屏、指示牌、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流程、专家姓名和联系方式，方便工伤职工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就医康复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的。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3EDC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8373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E19E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4C0C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FDD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5FF3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bidi="ar"/>
              </w:rPr>
              <w:t>建立健全医疗纠纷投诉和处理机构，并有专人负责，公布投诉电话、信箱，畅通投诉渠道，及时受理、处置患方投诉的。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D7C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5分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AFE7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227B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BDF3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AD4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总分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7A6C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54E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100分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0507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EF98">
            <w:pPr>
              <w:widowControl/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 w14:paraId="4F52DCFB">
      <w:pPr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bidi="ar"/>
        </w:rPr>
        <w:t>备注：得分达到90分（含）以上的为合格。</w:t>
      </w:r>
    </w:p>
    <w:p w14:paraId="0C2DBD1C">
      <w:pPr>
        <w:pStyle w:val="2"/>
        <w:spacing w:line="3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评估人签字：</w:t>
      </w:r>
    </w:p>
    <w:p w14:paraId="1C87F4E1">
      <w:pPr>
        <w:pStyle w:val="2"/>
      </w:pPr>
    </w:p>
    <w:p w14:paraId="223AC7F5">
      <w:pPr>
        <w:pStyle w:val="2"/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p w14:paraId="2E1A184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64EF13FD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2025-04-15T06:28:02Z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