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u w:val="none"/>
          <w:lang w:val="en-US" w:eastAsia="zh-CN"/>
        </w:rPr>
      </w:pPr>
      <w:r>
        <w:rPr>
          <w:rFonts w:hint="eastAsia" w:ascii="宋体" w:hAnsi="宋体" w:eastAsia="宋体" w:cs="宋体"/>
          <w:b/>
          <w:bCs/>
          <w:sz w:val="44"/>
          <w:szCs w:val="44"/>
          <w:u w:val="none"/>
          <w:lang w:val="en-US" w:eastAsia="zh-CN"/>
        </w:rPr>
        <w:t>包头市灵活就业人员参加住房公积金制度试点实施细则</w:t>
      </w:r>
    </w:p>
    <w:p>
      <w:pPr>
        <w:keepNext w:val="0"/>
        <w:keepLines w:val="0"/>
        <w:pageBreakBefore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bCs/>
          <w:sz w:val="44"/>
          <w:szCs w:val="44"/>
          <w:u w:val="none"/>
          <w:lang w:eastAsia="zh-CN"/>
        </w:rPr>
      </w:pPr>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黑体" w:hAnsi="黑体" w:eastAsia="黑体" w:cs="黑体"/>
          <w:b w:val="0"/>
          <w:bCs w:val="0"/>
          <w:sz w:val="32"/>
          <w:szCs w:val="32"/>
          <w:u w:val="none"/>
        </w:rPr>
      </w:pPr>
      <w:r>
        <w:rPr>
          <w:rFonts w:hint="eastAsia" w:ascii="黑体" w:hAnsi="黑体" w:eastAsia="黑体" w:cs="黑体"/>
          <w:b/>
          <w:bCs/>
          <w:i w:val="0"/>
          <w:iCs w:val="0"/>
          <w:caps w:val="0"/>
          <w:color w:val="000000"/>
          <w:spacing w:val="0"/>
          <w:sz w:val="32"/>
          <w:szCs w:val="32"/>
          <w:u w:val="none"/>
        </w:rPr>
        <w:t>第一章  总则</w:t>
      </w:r>
    </w:p>
    <w:p>
      <w:pPr>
        <w:keepNext w:val="0"/>
        <w:keepLines w:val="0"/>
        <w:pageBreakBefore w:val="0"/>
        <w:kinsoku/>
        <w:wordWrap/>
        <w:overflowPunct/>
        <w:topLinePunct w:val="0"/>
        <w:autoSpaceDE/>
        <w:autoSpaceDN/>
        <w:bidi w:val="0"/>
        <w:adjustRightInd/>
        <w:snapToGrid/>
        <w:spacing w:line="640" w:lineRule="exact"/>
        <w:ind w:firstLine="643" w:firstLineChars="200"/>
        <w:jc w:val="both"/>
        <w:textAlignment w:val="auto"/>
        <w:rPr>
          <w:rFonts w:hint="eastAsia" w:ascii="Times New Roman" w:hAnsi="Times New Roman" w:eastAsia="仿宋_GB2312" w:cs="仿宋_GB2312"/>
          <w:b w:val="0"/>
          <w:bCs w:val="0"/>
          <w:sz w:val="32"/>
          <w:szCs w:val="32"/>
          <w:u w:val="none"/>
        </w:rPr>
      </w:pPr>
      <w:r>
        <w:rPr>
          <w:rFonts w:hint="eastAsia" w:ascii="仿宋_GB2312" w:hAnsi="仿宋_GB2312" w:eastAsia="仿宋_GB2312" w:cs="仿宋_GB2312"/>
          <w:b/>
          <w:bCs/>
          <w:i w:val="0"/>
          <w:iCs w:val="0"/>
          <w:caps w:val="0"/>
          <w:color w:val="000000"/>
          <w:spacing w:val="0"/>
          <w:sz w:val="32"/>
          <w:szCs w:val="32"/>
          <w:u w:val="none"/>
        </w:rPr>
        <w:t>第</w:t>
      </w:r>
      <w:r>
        <w:rPr>
          <w:rFonts w:hint="eastAsia" w:ascii="仿宋_GB2312" w:hAnsi="仿宋_GB2312" w:eastAsia="仿宋_GB2312" w:cs="仿宋_GB2312"/>
          <w:b/>
          <w:bCs/>
          <w:i w:val="0"/>
          <w:iCs w:val="0"/>
          <w:caps w:val="0"/>
          <w:color w:val="000000"/>
          <w:spacing w:val="0"/>
          <w:sz w:val="32"/>
          <w:szCs w:val="32"/>
          <w:u w:val="none"/>
          <w:lang w:eastAsia="zh-CN"/>
        </w:rPr>
        <w:t>一</w:t>
      </w:r>
      <w:r>
        <w:rPr>
          <w:rFonts w:hint="eastAsia" w:ascii="仿宋_GB2312" w:hAnsi="仿宋_GB2312" w:eastAsia="仿宋_GB2312" w:cs="仿宋_GB2312"/>
          <w:b/>
          <w:bCs/>
          <w:i w:val="0"/>
          <w:iCs w:val="0"/>
          <w:caps w:val="0"/>
          <w:color w:val="000000"/>
          <w:spacing w:val="0"/>
          <w:sz w:val="32"/>
          <w:szCs w:val="32"/>
          <w:u w:val="none"/>
        </w:rPr>
        <w:t>条</w:t>
      </w:r>
      <w:r>
        <w:rPr>
          <w:rFonts w:hint="eastAsia" w:ascii="仿宋_GB2312" w:hAnsi="仿宋_GB2312" w:eastAsia="仿宋_GB2312" w:cs="仿宋_GB2312"/>
          <w:b/>
          <w:bCs/>
          <w:i w:val="0"/>
          <w:iCs w:val="0"/>
          <w:caps w:val="0"/>
          <w:color w:val="000000"/>
          <w:spacing w:val="0"/>
          <w:sz w:val="32"/>
          <w:szCs w:val="32"/>
          <w:u w:val="none"/>
          <w:lang w:val="en-US" w:eastAsia="zh-CN"/>
        </w:rPr>
        <w:t xml:space="preserve"> </w:t>
      </w:r>
      <w:r>
        <w:rPr>
          <w:rFonts w:hint="eastAsia" w:ascii="Times New Roman" w:hAnsi="Times New Roman" w:eastAsia="仿宋_GB2312" w:cs="仿宋_GB2312"/>
          <w:b w:val="0"/>
          <w:bCs w:val="0"/>
          <w:i w:val="0"/>
          <w:iCs w:val="0"/>
          <w:caps w:val="0"/>
          <w:color w:val="000000"/>
          <w:spacing w:val="0"/>
          <w:sz w:val="32"/>
          <w:szCs w:val="32"/>
          <w:u w:val="none"/>
          <w:lang w:eastAsia="zh-CN"/>
        </w:rPr>
        <w:t>为更好的服务灵活就业人员办理住房公积金缴存、提取、贷款等业务</w:t>
      </w:r>
      <w:r>
        <w:rPr>
          <w:rFonts w:hint="eastAsia" w:ascii="Times New Roman" w:hAnsi="Times New Roman" w:eastAsia="仿宋_GB2312" w:cs="仿宋_GB2312"/>
          <w:b w:val="0"/>
          <w:bCs w:val="0"/>
          <w:i w:val="0"/>
          <w:iCs w:val="0"/>
          <w:caps w:val="0"/>
          <w:color w:val="000000"/>
          <w:spacing w:val="0"/>
          <w:sz w:val="32"/>
          <w:szCs w:val="32"/>
          <w:u w:val="none"/>
        </w:rPr>
        <w:t>，根据《</w:t>
      </w:r>
      <w:r>
        <w:rPr>
          <w:rFonts w:hint="eastAsia" w:ascii="Times New Roman" w:hAnsi="Times New Roman" w:eastAsia="仿宋_GB2312" w:cs="仿宋_GB2312"/>
          <w:b w:val="0"/>
          <w:bCs w:val="0"/>
          <w:i w:val="0"/>
          <w:iCs w:val="0"/>
          <w:caps w:val="0"/>
          <w:color w:val="000000"/>
          <w:spacing w:val="0"/>
          <w:sz w:val="32"/>
          <w:szCs w:val="32"/>
          <w:u w:val="none"/>
          <w:lang w:eastAsia="zh-CN"/>
        </w:rPr>
        <w:t>包头市灵活就业人员参加住房公积金制度试点管理办法》</w:t>
      </w:r>
      <w:r>
        <w:rPr>
          <w:rFonts w:hint="eastAsia" w:ascii="Times New Roman" w:hAnsi="Times New Roman" w:eastAsia="仿宋_GB2312" w:cs="仿宋_GB2312"/>
          <w:kern w:val="2"/>
          <w:sz w:val="32"/>
          <w:szCs w:val="32"/>
          <w:highlight w:val="none"/>
          <w:u w:val="none"/>
          <w:lang w:val="en-US" w:eastAsia="zh-CN" w:bidi="ar-SA"/>
        </w:rPr>
        <w:t>（包房公委发〔2023〕4号）</w:t>
      </w:r>
      <w:r>
        <w:rPr>
          <w:rFonts w:hint="eastAsia" w:ascii="Times New Roman" w:hAnsi="Times New Roman" w:eastAsia="仿宋_GB2312" w:cs="仿宋_GB2312"/>
          <w:b w:val="0"/>
          <w:bCs w:val="0"/>
          <w:i w:val="0"/>
          <w:iCs w:val="0"/>
          <w:caps w:val="0"/>
          <w:color w:val="000000"/>
          <w:spacing w:val="0"/>
          <w:sz w:val="32"/>
          <w:szCs w:val="32"/>
          <w:u w:val="none"/>
          <w:lang w:eastAsia="zh-CN"/>
        </w:rPr>
        <w:t>有关规定，结合我市实际</w:t>
      </w:r>
      <w:r>
        <w:rPr>
          <w:rFonts w:hint="eastAsia" w:ascii="Times New Roman" w:hAnsi="Times New Roman" w:eastAsia="仿宋_GB2312" w:cs="仿宋_GB2312"/>
          <w:b w:val="0"/>
          <w:bCs w:val="0"/>
          <w:i w:val="0"/>
          <w:iCs w:val="0"/>
          <w:caps w:val="0"/>
          <w:color w:val="000000"/>
          <w:spacing w:val="0"/>
          <w:sz w:val="32"/>
          <w:szCs w:val="32"/>
          <w:u w:val="none"/>
        </w:rPr>
        <w:t>，制</w:t>
      </w:r>
      <w:r>
        <w:rPr>
          <w:rFonts w:hint="eastAsia" w:ascii="Times New Roman" w:hAnsi="Times New Roman" w:eastAsia="仿宋_GB2312" w:cs="仿宋_GB2312"/>
          <w:b w:val="0"/>
          <w:bCs w:val="0"/>
          <w:i w:val="0"/>
          <w:iCs w:val="0"/>
          <w:caps w:val="0"/>
          <w:color w:val="000000"/>
          <w:spacing w:val="0"/>
          <w:sz w:val="32"/>
          <w:szCs w:val="32"/>
          <w:u w:val="none"/>
          <w:lang w:eastAsia="zh-CN"/>
        </w:rPr>
        <w:t>定</w:t>
      </w:r>
      <w:bookmarkStart w:id="0" w:name="_GoBack"/>
      <w:bookmarkEnd w:id="0"/>
      <w:r>
        <w:rPr>
          <w:rFonts w:hint="eastAsia" w:ascii="Times New Roman" w:hAnsi="Times New Roman" w:eastAsia="仿宋_GB2312" w:cs="仿宋_GB2312"/>
          <w:b w:val="0"/>
          <w:bCs w:val="0"/>
          <w:i w:val="0"/>
          <w:iCs w:val="0"/>
          <w:caps w:val="0"/>
          <w:color w:val="000000"/>
          <w:spacing w:val="0"/>
          <w:sz w:val="32"/>
          <w:szCs w:val="32"/>
          <w:u w:val="none"/>
        </w:rPr>
        <w:t>本</w:t>
      </w:r>
      <w:r>
        <w:rPr>
          <w:rFonts w:hint="eastAsia" w:ascii="Times New Roman" w:hAnsi="Times New Roman" w:eastAsia="仿宋_GB2312" w:cs="仿宋_GB2312"/>
          <w:b w:val="0"/>
          <w:bCs w:val="0"/>
          <w:i w:val="0"/>
          <w:iCs w:val="0"/>
          <w:caps w:val="0"/>
          <w:color w:val="000000"/>
          <w:spacing w:val="0"/>
          <w:sz w:val="32"/>
          <w:szCs w:val="32"/>
          <w:u w:val="none"/>
          <w:lang w:eastAsia="zh-CN"/>
        </w:rPr>
        <w:t>实施细则</w:t>
      </w:r>
      <w:r>
        <w:rPr>
          <w:rFonts w:hint="eastAsia" w:ascii="Times New Roman" w:hAnsi="Times New Roman" w:eastAsia="仿宋_GB2312" w:cs="仿宋_GB2312"/>
          <w:b w:val="0"/>
          <w:bCs w:val="0"/>
          <w:i w:val="0"/>
          <w:iCs w:val="0"/>
          <w:caps w:val="0"/>
          <w:color w:val="000000"/>
          <w:spacing w:val="0"/>
          <w:sz w:val="32"/>
          <w:szCs w:val="32"/>
          <w:u w:val="no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3"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bCs/>
          <w:i w:val="0"/>
          <w:iCs w:val="0"/>
          <w:caps w:val="0"/>
          <w:color w:val="000000"/>
          <w:spacing w:val="0"/>
          <w:sz w:val="32"/>
          <w:szCs w:val="32"/>
          <w:u w:val="none"/>
        </w:rPr>
        <w:t>第</w:t>
      </w:r>
      <w:r>
        <w:rPr>
          <w:rFonts w:hint="eastAsia" w:ascii="Times New Roman" w:hAnsi="Times New Roman" w:eastAsia="仿宋_GB2312" w:cs="仿宋_GB2312"/>
          <w:b/>
          <w:bCs/>
          <w:i w:val="0"/>
          <w:iCs w:val="0"/>
          <w:caps w:val="0"/>
          <w:color w:val="000000"/>
          <w:spacing w:val="0"/>
          <w:sz w:val="32"/>
          <w:szCs w:val="32"/>
          <w:u w:val="none"/>
          <w:lang w:eastAsia="zh-CN"/>
        </w:rPr>
        <w:t>二</w:t>
      </w:r>
      <w:r>
        <w:rPr>
          <w:rFonts w:hint="eastAsia" w:ascii="Times New Roman" w:hAnsi="Times New Roman" w:eastAsia="仿宋_GB2312" w:cs="仿宋_GB2312"/>
          <w:b/>
          <w:bCs/>
          <w:i w:val="0"/>
          <w:iCs w:val="0"/>
          <w:caps w:val="0"/>
          <w:color w:val="000000"/>
          <w:spacing w:val="0"/>
          <w:sz w:val="32"/>
          <w:szCs w:val="32"/>
          <w:u w:val="none"/>
        </w:rPr>
        <w:t>条</w:t>
      </w:r>
      <w:r>
        <w:rPr>
          <w:rFonts w:hint="eastAsia" w:ascii="Times New Roman" w:hAnsi="Times New Roman" w:eastAsia="仿宋_GB2312" w:cs="仿宋_GB2312"/>
          <w:b/>
          <w:bCs/>
          <w:i w:val="0"/>
          <w:iCs w:val="0"/>
          <w:caps w:val="0"/>
          <w:color w:val="000000"/>
          <w:spacing w:val="0"/>
          <w:sz w:val="32"/>
          <w:szCs w:val="32"/>
          <w:u w:val="none"/>
          <w:lang w:val="en-US" w:eastAsia="zh-CN"/>
        </w:rPr>
        <w:t xml:space="preserve"> </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本细则适用于在包头市参加住房公积金制度的灵活就业缴存人（以下简称缴存人），办理住房公积金缴存、提取及贷款等有关业务的管理工作。</w:t>
      </w:r>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黑体" w:hAnsi="黑体" w:eastAsia="黑体" w:cs="黑体"/>
          <w:b/>
          <w:bCs/>
          <w:i w:val="0"/>
          <w:iCs w:val="0"/>
          <w:caps w:val="0"/>
          <w:color w:val="000000"/>
          <w:spacing w:val="0"/>
          <w:sz w:val="32"/>
          <w:szCs w:val="32"/>
          <w:u w:val="none"/>
          <w:lang w:val="en-US" w:eastAsia="zh-CN"/>
        </w:rPr>
      </w:pPr>
      <w:r>
        <w:rPr>
          <w:rFonts w:hint="eastAsia" w:ascii="黑体" w:hAnsi="黑体" w:eastAsia="黑体" w:cs="黑体"/>
          <w:b/>
          <w:bCs/>
          <w:i w:val="0"/>
          <w:iCs w:val="0"/>
          <w:caps w:val="0"/>
          <w:color w:val="000000"/>
          <w:spacing w:val="0"/>
          <w:sz w:val="32"/>
          <w:szCs w:val="32"/>
          <w:u w:val="none"/>
          <w:lang w:val="en-US" w:eastAsia="zh-CN"/>
        </w:rPr>
        <w:t>第二章 缴存业务及账户管理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3"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i w:val="0"/>
          <w:iCs w:val="0"/>
          <w:caps w:val="0"/>
          <w:color w:val="000000"/>
          <w:spacing w:val="0"/>
          <w:sz w:val="32"/>
          <w:szCs w:val="32"/>
          <w:u w:val="none"/>
          <w:lang w:eastAsia="zh-CN"/>
        </w:rPr>
        <w:t>第三条</w:t>
      </w:r>
      <w:r>
        <w:rPr>
          <w:rFonts w:hint="eastAsia" w:ascii="仿宋_GB2312" w:hAnsi="仿宋_GB2312" w:eastAsia="仿宋_GB2312" w:cs="仿宋_GB2312"/>
          <w:b/>
          <w:bCs/>
          <w:i w:val="0"/>
          <w:iCs w:val="0"/>
          <w:caps w:val="0"/>
          <w:color w:val="000000"/>
          <w:spacing w:val="0"/>
          <w:sz w:val="32"/>
          <w:szCs w:val="32"/>
          <w:u w:val="none"/>
          <w:lang w:val="en-US" w:eastAsia="zh-CN"/>
        </w:rPr>
        <w:t xml:space="preserve"> </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本细则所称缴存人，是指《住房公积金管理条例》规定的应缴住房公积金范围之外的，符合法定就业年龄范围（即年满16周岁，未达到国家法定退休年龄）且具有完全民事行为能力的各类自谋职业人员、从事非全日制、个体经营、新业态等方式灵活就业的人员</w:t>
      </w:r>
      <w:r>
        <w:rPr>
          <w:rFonts w:hint="eastAsia" w:ascii="仿宋_GB2312" w:hAnsi="仿宋_GB2312" w:eastAsia="仿宋_GB2312" w:cs="仿宋_GB2312"/>
          <w:b w:val="0"/>
          <w:bCs w:val="0"/>
          <w:i w:val="0"/>
          <w:iCs w:val="0"/>
          <w:caps w:val="0"/>
          <w:color w:val="000000"/>
          <w:spacing w:val="0"/>
          <w:sz w:val="32"/>
          <w:szCs w:val="32"/>
          <w:u w:val="no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Style w:val="8"/>
          <w:rFonts w:hint="eastAsia" w:ascii="仿宋_GB2312" w:hAnsi="仿宋_GB2312" w:eastAsia="仿宋_GB2312" w:cs="仿宋_GB2312"/>
          <w:b/>
          <w:bCs/>
          <w:sz w:val="32"/>
          <w:szCs w:val="32"/>
          <w:u w:val="none"/>
        </w:rPr>
        <w:t>第</w:t>
      </w:r>
      <w:r>
        <w:rPr>
          <w:rStyle w:val="8"/>
          <w:rFonts w:hint="eastAsia" w:ascii="仿宋_GB2312" w:hAnsi="仿宋_GB2312" w:eastAsia="仿宋_GB2312" w:cs="仿宋_GB2312"/>
          <w:b/>
          <w:bCs/>
          <w:sz w:val="32"/>
          <w:szCs w:val="32"/>
          <w:u w:val="none"/>
          <w:lang w:eastAsia="zh-CN"/>
        </w:rPr>
        <w:t>四</w:t>
      </w:r>
      <w:r>
        <w:rPr>
          <w:rStyle w:val="8"/>
          <w:rFonts w:hint="eastAsia" w:ascii="仿宋_GB2312" w:hAnsi="仿宋_GB2312" w:eastAsia="仿宋_GB2312" w:cs="仿宋_GB2312"/>
          <w:b/>
          <w:bCs/>
          <w:sz w:val="32"/>
          <w:szCs w:val="32"/>
          <w:u w:val="none"/>
        </w:rPr>
        <w:t>条</w:t>
      </w:r>
      <w:r>
        <w:rPr>
          <w:rStyle w:val="8"/>
          <w:rFonts w:hint="eastAsia" w:ascii="仿宋_GB2312" w:hAnsi="仿宋_GB2312" w:eastAsia="仿宋_GB2312" w:cs="仿宋_GB2312"/>
          <w:b/>
          <w:bCs/>
          <w:sz w:val="32"/>
          <w:szCs w:val="32"/>
          <w:u w:val="none"/>
          <w:lang w:val="en-US" w:eastAsia="zh-CN"/>
        </w:rPr>
        <w:t xml:space="preserve"> </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缴存资金由缴存人本人承担，本金与利息归缴存人所有。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3" w:firstLineChars="200"/>
        <w:jc w:val="both"/>
        <w:textAlignment w:val="auto"/>
        <w:outlineLvl w:val="9"/>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bCs/>
          <w:sz w:val="32"/>
          <w:szCs w:val="32"/>
          <w:u w:val="none"/>
          <w:lang w:eastAsia="zh-CN"/>
        </w:rPr>
        <w:t>第五条</w:t>
      </w:r>
      <w:r>
        <w:rPr>
          <w:rFonts w:hint="eastAsia" w:ascii="仿宋_GB2312" w:hAnsi="仿宋_GB2312" w:eastAsia="仿宋_GB2312" w:cs="仿宋_GB2312"/>
          <w:b/>
          <w:bCs/>
          <w:sz w:val="32"/>
          <w:szCs w:val="32"/>
          <w:u w:val="none"/>
          <w:lang w:val="en-US" w:eastAsia="zh-CN"/>
        </w:rPr>
        <w:t xml:space="preserve"> </w:t>
      </w:r>
      <w:r>
        <w:rPr>
          <w:rFonts w:hint="eastAsia" w:ascii="仿宋_GB2312" w:hAnsi="仿宋_GB2312" w:eastAsia="仿宋_GB2312" w:cs="仿宋_GB2312"/>
          <w:b w:val="0"/>
          <w:bCs w:val="0"/>
          <w:sz w:val="32"/>
          <w:szCs w:val="32"/>
          <w:u w:val="none"/>
          <w:lang w:eastAsia="zh-CN"/>
        </w:rPr>
        <w:t>缴存人名下只能开立一个正常缴存的住房公积金账户。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缴存人可通过“手机公积金”APP等线上渠道办理缴存身份实名认证，并填报开户申请信息，在线签订《包头市灵活就业人员缴存使用住房公积金协议》（以下简称《缴存使用协议》），约定缴存金额、缴存方式及双方的权利和义务等内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未能通过实名认证的缴存人须通过包头市住房公积金中心（以下简称公积金中心）服务窗口申请开设个人公积金账户，需持有效身份证件原件，并与公积金中心签订《缴存使用协议》。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3"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仿宋_GB2312" w:hAnsi="仿宋_GB2312" w:eastAsia="仿宋_GB2312" w:cs="仿宋_GB2312"/>
          <w:b/>
          <w:bCs/>
          <w:sz w:val="32"/>
          <w:szCs w:val="32"/>
          <w:u w:val="none"/>
          <w:lang w:eastAsia="zh-CN"/>
        </w:rPr>
        <w:t>第六条</w:t>
      </w:r>
      <w:r>
        <w:rPr>
          <w:rFonts w:hint="eastAsia" w:ascii="仿宋_GB2312" w:hAnsi="仿宋_GB2312" w:eastAsia="仿宋_GB2312" w:cs="仿宋_GB2312"/>
          <w:b/>
          <w:bCs/>
          <w:sz w:val="32"/>
          <w:szCs w:val="32"/>
          <w:u w:val="none"/>
          <w:lang w:val="en-US" w:eastAsia="zh-CN"/>
        </w:rPr>
        <w:t xml:space="preserve"> </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缴存人签订协议时可根据意愿自行选择缴存方式，可采用按月（季、年）定期缴存或灵活缴存。</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3"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仿宋_GB2312" w:hAnsi="仿宋_GB2312" w:eastAsia="仿宋_GB2312" w:cs="仿宋_GB2312"/>
          <w:b/>
          <w:bCs/>
          <w:sz w:val="32"/>
          <w:szCs w:val="32"/>
          <w:u w:val="none"/>
          <w:lang w:val="en-US" w:eastAsia="zh-CN"/>
        </w:rPr>
        <w:t xml:space="preserve">第七条 </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缴存额按照公积金中心每年公布的缴存上、下限额标准执行，缴存人可在范围内自行确定。</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3"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仿宋_GB2312" w:hAnsi="仿宋_GB2312" w:eastAsia="仿宋_GB2312" w:cs="仿宋_GB2312"/>
          <w:b/>
          <w:bCs/>
          <w:sz w:val="32"/>
          <w:szCs w:val="32"/>
          <w:u w:val="none"/>
          <w:lang w:val="en-US" w:eastAsia="zh-CN"/>
        </w:rPr>
        <w:t xml:space="preserve">第八条 </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缴存人设立个人账户时，应关联本人银行卡用于缴存住房公积金，银行卡应为本人在受委托银行开设的I类借记卡。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缴存人选择按月（季、年）定期缴存的，缴款方式为银行代扣，扣款日期为应扣款月的1日至15日。缴存人选择灵活缴存的，缴款方式为缴存人主动缴款，缴存日期自主选择，需通过“手机公积金”APP、“包头住房公积金”官方微信公众号等线上渠道自助办理缴款。缴存人须在银行代扣或主动缴款前存入足额资金至关联银行卡中且保持至缴款成功。</w:t>
      </w:r>
    </w:p>
    <w:p>
      <w:pPr>
        <w:pStyle w:val="5"/>
        <w:keepNext w:val="0"/>
        <w:keepLines w:val="0"/>
        <w:pageBreakBefore w:val="0"/>
        <w:widowControl/>
        <w:suppressLineNumbers w:val="0"/>
        <w:kinsoku/>
        <w:wordWrap/>
        <w:overflowPunct/>
        <w:topLinePunct w:val="0"/>
        <w:autoSpaceDE/>
        <w:autoSpaceDN/>
        <w:bidi w:val="0"/>
        <w:adjustRightInd/>
        <w:snapToGrid/>
        <w:spacing w:before="80" w:beforeAutospacing="0" w:after="80" w:afterAutospacing="0" w:line="640" w:lineRule="exact"/>
        <w:ind w:right="0" w:firstLine="643" w:firstLineChars="200"/>
        <w:jc w:val="both"/>
        <w:textAlignment w:val="auto"/>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eastAsia="zh-CN"/>
        </w:rPr>
        <w:t>第九条</w:t>
      </w:r>
      <w:r>
        <w:rPr>
          <w:rFonts w:hint="eastAsia" w:ascii="仿宋_GB2312" w:hAnsi="仿宋_GB2312" w:eastAsia="仿宋_GB2312" w:cs="仿宋_GB2312"/>
          <w:b/>
          <w:bCs/>
          <w:color w:val="auto"/>
          <w:sz w:val="32"/>
          <w:szCs w:val="32"/>
          <w:u w:val="none"/>
          <w:lang w:val="en-US" w:eastAsia="zh-CN"/>
        </w:rPr>
        <w:t xml:space="preserve"> </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缴存人可就以下事项变更《缴存使用协议》有关内容：</w:t>
      </w:r>
    </w:p>
    <w:p>
      <w:pPr>
        <w:pStyle w:val="5"/>
        <w:keepNext w:val="0"/>
        <w:keepLines w:val="0"/>
        <w:pageBreakBefore w:val="0"/>
        <w:widowControl/>
        <w:suppressLineNumbers w:val="0"/>
        <w:kinsoku/>
        <w:wordWrap/>
        <w:overflowPunct/>
        <w:topLinePunct w:val="0"/>
        <w:autoSpaceDE/>
        <w:autoSpaceDN/>
        <w:bidi w:val="0"/>
        <w:adjustRightInd/>
        <w:snapToGrid/>
        <w:spacing w:before="80" w:beforeAutospacing="0" w:after="80" w:afterAutospacing="0" w:line="640" w:lineRule="exact"/>
        <w:ind w:right="0" w:firstLine="640"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（一）缴存人无未结清的住房公积金贷款拟对缴存金额变更的，以灵活就业人员身份开户当年不得变更，次年开始每年7-12月可以申请变更一次，并与公积金中心重新签订《缴存使用协议》。</w:t>
      </w:r>
    </w:p>
    <w:p>
      <w:pPr>
        <w:pStyle w:val="5"/>
        <w:keepNext w:val="0"/>
        <w:keepLines w:val="0"/>
        <w:pageBreakBefore w:val="0"/>
        <w:widowControl/>
        <w:suppressLineNumbers w:val="0"/>
        <w:kinsoku/>
        <w:wordWrap/>
        <w:overflowPunct/>
        <w:topLinePunct w:val="0"/>
        <w:autoSpaceDE/>
        <w:autoSpaceDN/>
        <w:bidi w:val="0"/>
        <w:adjustRightInd/>
        <w:snapToGrid/>
        <w:spacing w:before="80" w:beforeAutospacing="0" w:after="80" w:afterAutospacing="0" w:line="640" w:lineRule="exact"/>
        <w:ind w:right="0" w:firstLine="640"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（二）缴存人拟对本人个人信息、关联银行卡进行变更的，应与公积金中心重新签订《缴存使用协议》。</w:t>
      </w:r>
    </w:p>
    <w:p>
      <w:pPr>
        <w:pStyle w:val="5"/>
        <w:keepNext w:val="0"/>
        <w:keepLines w:val="0"/>
        <w:pageBreakBefore w:val="0"/>
        <w:widowControl/>
        <w:suppressLineNumbers w:val="0"/>
        <w:kinsoku/>
        <w:wordWrap/>
        <w:overflowPunct/>
        <w:topLinePunct w:val="0"/>
        <w:autoSpaceDE/>
        <w:autoSpaceDN/>
        <w:bidi w:val="0"/>
        <w:adjustRightInd/>
        <w:snapToGrid/>
        <w:spacing w:before="80" w:beforeAutospacing="0" w:after="80" w:afterAutospacing="0" w:line="640" w:lineRule="exact"/>
        <w:ind w:right="0" w:firstLine="640"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（三）缴存方式选择灵活缴存的缴存人在公积金贷款发放后，应当与公积金中心重新签订《缴存使用协议》，缴存方式变更为按月缴存。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3"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仿宋_GB2312" w:hAnsi="仿宋_GB2312" w:eastAsia="仿宋_GB2312" w:cs="仿宋_GB2312"/>
          <w:b/>
          <w:bCs/>
          <w:color w:val="auto"/>
          <w:sz w:val="32"/>
          <w:szCs w:val="32"/>
          <w:u w:val="none"/>
          <w:lang w:eastAsia="zh-CN"/>
        </w:rPr>
        <w:t>第十条</w:t>
      </w:r>
      <w:r>
        <w:rPr>
          <w:rFonts w:hint="eastAsia" w:ascii="仿宋_GB2312" w:hAnsi="仿宋_GB2312" w:eastAsia="仿宋_GB2312" w:cs="仿宋_GB2312"/>
          <w:b/>
          <w:bCs/>
          <w:color w:val="auto"/>
          <w:sz w:val="32"/>
          <w:szCs w:val="32"/>
          <w:u w:val="none"/>
          <w:lang w:val="en-US" w:eastAsia="zh-CN"/>
        </w:rPr>
        <w:t xml:space="preserve"> </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缴存人如出现以下情形，应当终止《缴存使用协议》：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（一）缴存人未办理住房公积金贷款拟对缴存方式（按月、季、年定期缴存或灵活缴存）进行变更的，应当终止原《缴存使用协议》，并与公积金中心重新签订《缴存使用协议》；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（二）缴存人及配偶无未结清住房公积金贷款，申请终止缴存、退出包头市灵活就业人员住房公积金制度的；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（三）缴存人成为住房公积金建制单位在职职工，按照《住房公积金管理条例》规定继续缴存住房公积金的（建制单位是指符合《住房公积金管理条例》第二条规定的应缴住房公积金的单位）；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（四）缴存人个人账户封存或转出本市的；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（五）缴存人违反《缴存使用协议》约定，达到终止条件的；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（六）其他因缴存人原因被公积金中心认为符合终止《缴存使用协议》的情形。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3"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u w:val="none"/>
          <w:lang w:val="en-US" w:eastAsia="zh-CN"/>
          <w14:textFill>
            <w14:solidFill>
              <w14:schemeClr w14:val="tx1"/>
            </w14:solidFill>
          </w14:textFill>
        </w:rPr>
        <w:t xml:space="preserve">第十一条 </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缴存人应当按照《缴存使用协议》约定进行缴存，开户后超过约定期限未进行缴存的，公积金中心有权依据协议约定注销缴存人个人账户。依前述规定注销账户后，灵活就业人员再次开户需满6个月。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缴存人开户后未按照《缴存使用协议》约定的缴存方式足额缴存的，其本人住房公积金使用权益将依据相关政策或协议约定执行。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Style w:val="8"/>
          <w:rFonts w:hint="eastAsia" w:ascii="仿宋_GB2312" w:hAnsi="仿宋_GB2312" w:eastAsia="仿宋_GB2312" w:cs="仿宋_GB2312"/>
          <w:b/>
          <w:bCs/>
          <w:sz w:val="32"/>
          <w:szCs w:val="32"/>
          <w:u w:val="none"/>
        </w:rPr>
        <w:t>第</w:t>
      </w:r>
      <w:r>
        <w:rPr>
          <w:rStyle w:val="8"/>
          <w:rFonts w:hint="eastAsia" w:ascii="仿宋_GB2312" w:hAnsi="仿宋_GB2312" w:eastAsia="仿宋_GB2312" w:cs="仿宋_GB2312"/>
          <w:b/>
          <w:bCs/>
          <w:sz w:val="32"/>
          <w:szCs w:val="32"/>
          <w:u w:val="none"/>
          <w:lang w:eastAsia="zh-CN"/>
        </w:rPr>
        <w:t>十二</w:t>
      </w:r>
      <w:r>
        <w:rPr>
          <w:rStyle w:val="8"/>
          <w:rFonts w:hint="eastAsia" w:ascii="仿宋_GB2312" w:hAnsi="仿宋_GB2312" w:eastAsia="仿宋_GB2312" w:cs="仿宋_GB2312"/>
          <w:b/>
          <w:bCs/>
          <w:sz w:val="32"/>
          <w:szCs w:val="32"/>
          <w:u w:val="none"/>
        </w:rPr>
        <w:t>条</w:t>
      </w:r>
      <w:r>
        <w:rPr>
          <w:rStyle w:val="8"/>
          <w:rFonts w:hint="eastAsia" w:ascii="仿宋_GB2312" w:hAnsi="仿宋_GB2312" w:eastAsia="仿宋_GB2312" w:cs="仿宋_GB2312"/>
          <w:b/>
          <w:bCs/>
          <w:sz w:val="32"/>
          <w:szCs w:val="32"/>
          <w:u w:val="none"/>
          <w:lang w:val="en-US" w:eastAsia="zh-CN"/>
        </w:rPr>
        <w:t xml:space="preserve"> </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缴存人缴存的住房公积金自存入住房公积金专户之日起，按照国家规定的住房公积金存款利率及计息方式计息。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仿宋_GB2312" w:hAnsi="仿宋_GB2312" w:eastAsia="仿宋_GB2312" w:cs="仿宋_GB2312"/>
          <w:b/>
          <w:bCs/>
          <w:i w:val="0"/>
          <w:iCs w:val="0"/>
          <w:caps w:val="0"/>
          <w:color w:val="000000"/>
          <w:spacing w:val="0"/>
          <w:sz w:val="32"/>
          <w:szCs w:val="32"/>
          <w:u w:val="none"/>
          <w:lang w:val="en-US" w:eastAsia="zh-CN"/>
        </w:rPr>
        <w:t xml:space="preserve">第十三条 </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缴存人以灵活就业人员身份开立个人账户并缴存住房公积金超过一年（含）以上，期间无公积金使用记录的，其在办理住房公积金销户提取时给予缴存补贴。缴存补贴标准原则上按照年利率0.5%执行。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每个缴存人享受补贴的金额合计不超过1万元。缴存补贴列入灵活就业人员住房公积金业务支出。公积金中心可根据试点实施情况适时调整缴存补贴标准，补贴标准的调整由公积金中心提前15日在包头市住房公积金中心官方网站公布。</w:t>
      </w:r>
    </w:p>
    <w:p>
      <w:pPr>
        <w:pStyle w:val="5"/>
        <w:keepNext w:val="0"/>
        <w:keepLines w:val="0"/>
        <w:pageBreakBefore w:val="0"/>
        <w:widowControl/>
        <w:kinsoku/>
        <w:wordWrap/>
        <w:overflowPunct/>
        <w:topLinePunct w:val="0"/>
        <w:autoSpaceDE/>
        <w:autoSpaceDN/>
        <w:bidi w:val="0"/>
        <w:snapToGrid/>
        <w:spacing w:before="0" w:beforeAutospacing="0" w:after="0" w:afterAutospacing="0" w:line="640" w:lineRule="exact"/>
        <w:ind w:firstLine="643"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仿宋_GB2312" w:hAnsi="仿宋_GB2312" w:eastAsia="仿宋_GB2312" w:cs="仿宋_GB2312"/>
          <w:b/>
          <w:bCs/>
          <w:i w:val="0"/>
          <w:iCs w:val="0"/>
          <w:caps w:val="0"/>
          <w:color w:val="000000"/>
          <w:spacing w:val="0"/>
          <w:sz w:val="32"/>
          <w:szCs w:val="32"/>
          <w:highlight w:val="none"/>
          <w:u w:val="none"/>
          <w:lang w:val="en-US" w:eastAsia="zh-CN"/>
        </w:rPr>
        <w:t xml:space="preserve">第十四条 </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按照原《包头市个人缴存者缴存住房公积金管理暂行规定》（包房公发〔2014〕184号）开立个人缴存者账户的缴存人，如无未结清的住房公积金贷款的，可将住房公积金个人账户余额转入灵活就业人员参加住房公积金制度体系，原个人账户余额不享受缴存补贴。</w:t>
      </w:r>
    </w:p>
    <w:p>
      <w:pPr>
        <w:pStyle w:val="5"/>
        <w:keepNext w:val="0"/>
        <w:keepLines w:val="0"/>
        <w:pageBreakBefore w:val="0"/>
        <w:widowControl/>
        <w:kinsoku/>
        <w:wordWrap/>
        <w:overflowPunct/>
        <w:topLinePunct w:val="0"/>
        <w:autoSpaceDE/>
        <w:autoSpaceDN/>
        <w:bidi w:val="0"/>
        <w:snapToGrid/>
        <w:spacing w:before="0" w:beforeAutospacing="0" w:after="0" w:afterAutospacing="0" w:line="640" w:lineRule="exact"/>
        <w:ind w:firstLine="640" w:firstLineChars="200"/>
        <w:jc w:val="both"/>
        <w:textAlignment w:val="auto"/>
        <w:rPr>
          <w:rFonts w:hint="default" w:ascii="仿宋_GB2312" w:hAnsi="仿宋_GB2312" w:eastAsia="仿宋_GB2312" w:cs="仿宋_GB2312"/>
          <w:b w:val="0"/>
          <w:bCs w:val="0"/>
          <w:i w:val="0"/>
          <w:iCs w:val="0"/>
          <w:caps w:val="0"/>
          <w:color w:val="000000"/>
          <w:spacing w:val="0"/>
          <w:sz w:val="32"/>
          <w:szCs w:val="32"/>
          <w:highlight w:val="none"/>
          <w:u w:val="none"/>
          <w:lang w:val="en-US" w:eastAsia="zh-CN"/>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缴存人办理异地转移接续转入的个人账户余额部分，不享受缴存补贴。缴存人办理异地转移接续转出个人账户余额的，不享受缴存补贴。缴存人成为建制单位在职职工，办理账户转移由单位代扣代缴住房公积金的，原灵活就业个人账户余额不享受缴存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3"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仿宋_GB2312" w:hAnsi="仿宋_GB2312" w:eastAsia="仿宋_GB2312" w:cs="仿宋_GB2312"/>
          <w:b/>
          <w:bCs/>
          <w:color w:val="000000" w:themeColor="text1"/>
          <w:sz w:val="32"/>
          <w:szCs w:val="32"/>
          <w:highlight w:val="none"/>
          <w:u w:val="none"/>
          <w:lang w:eastAsia="zh-CN"/>
          <w14:textFill>
            <w14:solidFill>
              <w14:schemeClr w14:val="tx1"/>
            </w14:solidFill>
          </w14:textFill>
        </w:rPr>
        <w:t>第十五条</w:t>
      </w:r>
      <w:r>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 xml:space="preserve"> </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缴存人在包头市住房公积金中心存在已停缴的住房公积金个人账户且未申请住房公积金贷款或无未结清住房公积金贷款的，在办理灵活就业人员开户时，原账户信息及账户余额自动转入新开立账户。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缴存人进入住房公积金建制单位就业的，需办理个人住房公积金账户转移手续，转移后按照建制单位职工缴存住房公积金制度管理。同时，缴存人与公积金中心签订的《缴存使用协议》自动终止。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3"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仿宋_GB2312" w:hAnsi="仿宋_GB2312" w:eastAsia="仿宋_GB2312" w:cs="仿宋_GB2312"/>
          <w:b/>
          <w:bCs/>
          <w:i w:val="0"/>
          <w:iCs w:val="0"/>
          <w:caps w:val="0"/>
          <w:color w:val="000000" w:themeColor="text1"/>
          <w:spacing w:val="0"/>
          <w:sz w:val="32"/>
          <w:szCs w:val="32"/>
          <w:highlight w:val="none"/>
          <w:u w:val="none"/>
          <w:lang w:val="en-US" w:eastAsia="zh-CN"/>
          <w14:textFill>
            <w14:solidFill>
              <w14:schemeClr w14:val="tx1"/>
            </w14:solidFill>
          </w14:textFill>
        </w:rPr>
        <w:t xml:space="preserve">第十六条 </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缴存人无未结清的住房公积金贷款，且未按照《缴存使用协议》履行缴存义务，其个人账户及账户资金转入住房公积金中心集中封存账户管理，《缴存使用协议》自动终止。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3" w:firstLineChars="200"/>
        <w:jc w:val="both"/>
        <w:textAlignment w:val="auto"/>
        <w:outlineLvl w:val="9"/>
        <w:rPr>
          <w:rFonts w:hint="eastAsia" w:ascii="仿宋_GB2312" w:hAnsi="仿宋_GB2312" w:eastAsia="仿宋_GB2312" w:cs="仿宋_GB2312"/>
          <w:b w:val="0"/>
          <w:bCs w:val="0"/>
          <w:i w:val="0"/>
          <w:iCs w:val="0"/>
          <w:caps w:val="0"/>
          <w:color w:val="000000"/>
          <w:spacing w:val="0"/>
          <w:sz w:val="32"/>
          <w:szCs w:val="32"/>
          <w:highlight w:val="none"/>
          <w:u w:val="none"/>
          <w:lang w:val="en-US" w:eastAsia="zh-CN"/>
        </w:rPr>
      </w:pPr>
      <w:r>
        <w:rPr>
          <w:rFonts w:hint="eastAsia" w:ascii="仿宋_GB2312" w:hAnsi="仿宋_GB2312" w:eastAsia="仿宋_GB2312" w:cs="仿宋_GB2312"/>
          <w:b/>
          <w:bCs/>
          <w:i w:val="0"/>
          <w:iCs w:val="0"/>
          <w:caps w:val="0"/>
          <w:color w:val="000000"/>
          <w:spacing w:val="0"/>
          <w:sz w:val="32"/>
          <w:szCs w:val="32"/>
          <w:highlight w:val="none"/>
          <w:u w:val="none"/>
          <w:lang w:val="en-US" w:eastAsia="zh-CN"/>
        </w:rPr>
        <w:t xml:space="preserve">第十七条 </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缴存人缴存的住房公积金，参照建制单位在职职工单位和个人的抵扣标准，由缴存人自主申报依法在应纳税所得额中扣除。</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jc w:val="center"/>
        <w:textAlignment w:val="auto"/>
        <w:outlineLvl w:val="9"/>
        <w:rPr>
          <w:rFonts w:hint="eastAsia" w:ascii="黑体" w:hAnsi="黑体" w:eastAsia="黑体" w:cs="黑体"/>
          <w:b w:val="0"/>
          <w:bCs w:val="0"/>
          <w:i w:val="0"/>
          <w:iCs w:val="0"/>
          <w:caps w:val="0"/>
          <w:color w:val="000000"/>
          <w:spacing w:val="0"/>
          <w:sz w:val="32"/>
          <w:szCs w:val="32"/>
          <w:u w:val="none"/>
          <w:lang w:val="en-US" w:eastAsia="zh-CN"/>
        </w:rPr>
      </w:pPr>
      <w:r>
        <w:rPr>
          <w:rFonts w:hint="eastAsia" w:ascii="黑体" w:hAnsi="黑体" w:eastAsia="黑体" w:cs="黑体"/>
          <w:b w:val="0"/>
          <w:bCs w:val="0"/>
          <w:i w:val="0"/>
          <w:iCs w:val="0"/>
          <w:caps w:val="0"/>
          <w:color w:val="000000"/>
          <w:spacing w:val="0"/>
          <w:sz w:val="32"/>
          <w:szCs w:val="32"/>
          <w:u w:val="none"/>
          <w:lang w:val="en-US" w:eastAsia="zh-CN"/>
        </w:rPr>
        <w:t>第三章 提取业务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3"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仿宋_GB2312" w:hAnsi="仿宋_GB2312" w:eastAsia="仿宋_GB2312" w:cs="仿宋_GB2312"/>
          <w:b/>
          <w:bCs/>
          <w:i w:val="0"/>
          <w:iCs w:val="0"/>
          <w:caps w:val="0"/>
          <w:color w:val="000000"/>
          <w:spacing w:val="0"/>
          <w:sz w:val="32"/>
          <w:szCs w:val="32"/>
          <w:u w:val="none"/>
        </w:rPr>
        <w:t>第</w:t>
      </w:r>
      <w:r>
        <w:rPr>
          <w:rFonts w:hint="eastAsia" w:ascii="仿宋_GB2312" w:hAnsi="仿宋_GB2312" w:eastAsia="仿宋_GB2312" w:cs="仿宋_GB2312"/>
          <w:b/>
          <w:bCs/>
          <w:i w:val="0"/>
          <w:iCs w:val="0"/>
          <w:caps w:val="0"/>
          <w:color w:val="000000"/>
          <w:spacing w:val="0"/>
          <w:sz w:val="32"/>
          <w:szCs w:val="32"/>
          <w:u w:val="none"/>
          <w:lang w:eastAsia="zh-CN"/>
        </w:rPr>
        <w:t>十八</w:t>
      </w:r>
      <w:r>
        <w:rPr>
          <w:rFonts w:hint="eastAsia" w:ascii="仿宋_GB2312" w:hAnsi="仿宋_GB2312" w:eastAsia="仿宋_GB2312" w:cs="仿宋_GB2312"/>
          <w:b/>
          <w:bCs/>
          <w:i w:val="0"/>
          <w:iCs w:val="0"/>
          <w:caps w:val="0"/>
          <w:color w:val="000000"/>
          <w:spacing w:val="0"/>
          <w:sz w:val="32"/>
          <w:szCs w:val="32"/>
          <w:u w:val="none"/>
        </w:rPr>
        <w:t>条</w:t>
      </w:r>
      <w:r>
        <w:rPr>
          <w:rFonts w:hint="eastAsia" w:ascii="仿宋_GB2312" w:hAnsi="仿宋_GB2312" w:eastAsia="仿宋_GB2312" w:cs="仿宋_GB2312"/>
          <w:b/>
          <w:bCs/>
          <w:i w:val="0"/>
          <w:iCs w:val="0"/>
          <w:caps w:val="0"/>
          <w:color w:val="000000"/>
          <w:spacing w:val="0"/>
          <w:sz w:val="32"/>
          <w:szCs w:val="32"/>
          <w:u w:val="none"/>
          <w:lang w:val="en-US" w:eastAsia="zh-CN"/>
        </w:rPr>
        <w:t xml:space="preserve"> </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缴存人符合住房公积金提取政策规定，可凭相关材料经公积金中心审核、审批合规后，提取个人账户内住房公积金：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（一）购买、建造、翻建、大修自住住房的；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（二）本人及配偶在本市无住房，支付租赁自住住房房租的；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（三）偿还购买自住住房贷款本息的；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（四）年满法定退休年龄的或男性年满60周岁、女性年满55周岁；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（五）死亡或宣告死亡的；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（六）终止《缴存使用协议》，停止缴存的；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（七）经公积金中心审核认定符合提取政策的其他情形。</w:t>
      </w:r>
    </w:p>
    <w:p>
      <w:pPr>
        <w:pStyle w:val="5"/>
        <w:keepNext w:val="0"/>
        <w:keepLines w:val="0"/>
        <w:pageBreakBefore w:val="0"/>
        <w:widowControl/>
        <w:kinsoku/>
        <w:wordWrap/>
        <w:overflowPunct/>
        <w:topLinePunct w:val="0"/>
        <w:autoSpaceDE/>
        <w:autoSpaceDN/>
        <w:bidi w:val="0"/>
        <w:snapToGrid/>
        <w:spacing w:before="0" w:beforeAutospacing="0" w:after="0" w:afterAutospacing="0"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依照本条第（一）、（二）、（三）项规定提取住房公积金的，需以灵活就业人员身份开户并首次缴存住房公积金满3个月。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依照本条第（四）、（五）项规定，提取缴存人住房公积金的，应当同时注销缴存人个人账户。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依照本条第（五）项规定，缴存人死亡或被宣告死亡的，其继承人或受遗赠人可以提取其住房公积金账户内存储余额；无继承人也无受遗赠人的，缴存人住房公积金账户内的存储余额纳入住房公积金的增值收益。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依照本条第（六）项规定，缴存人个人账户余额中如同时存在原建制单位在职期间的缴存资金和以灵活就业人员身份缴存资金的，缴存人需以灵活就业人员身份开户满6个月后办理。</w:t>
      </w:r>
    </w:p>
    <w:p>
      <w:pPr>
        <w:keepNext w:val="0"/>
        <w:keepLines w:val="0"/>
        <w:pageBreakBefore w:val="0"/>
        <w:kinsoku/>
        <w:wordWrap/>
        <w:overflowPunct/>
        <w:topLinePunct w:val="0"/>
        <w:autoSpaceDE/>
        <w:autoSpaceDN/>
        <w:bidi w:val="0"/>
        <w:adjustRightInd/>
        <w:snapToGrid/>
        <w:spacing w:line="640" w:lineRule="exact"/>
        <w:ind w:firstLine="643" w:firstLineChars="200"/>
        <w:jc w:val="both"/>
        <w:textAlignment w:val="auto"/>
        <w:rPr>
          <w:rFonts w:hint="eastAsia" w:ascii="Times New Roman" w:hAnsi="Times New Roman" w:eastAsia="仿宋_GB2312" w:cs="仿宋_GB2312"/>
          <w:b w:val="0"/>
          <w:bCs w:val="0"/>
          <w:i w:val="0"/>
          <w:iCs w:val="0"/>
          <w:caps w:val="0"/>
          <w:color w:val="000000"/>
          <w:spacing w:val="0"/>
          <w:sz w:val="32"/>
          <w:szCs w:val="32"/>
          <w:u w:val="none"/>
          <w:lang w:eastAsia="zh-CN"/>
        </w:rPr>
      </w:pPr>
      <w:r>
        <w:rPr>
          <w:rFonts w:hint="eastAsia" w:ascii="仿宋" w:hAnsi="仿宋" w:eastAsia="仿宋"/>
          <w:b/>
          <w:bCs w:val="0"/>
          <w:sz w:val="32"/>
          <w:szCs w:val="32"/>
          <w:u w:val="none"/>
        </w:rPr>
        <w:t xml:space="preserve"> </w:t>
      </w:r>
      <w:r>
        <w:rPr>
          <w:rFonts w:hint="eastAsia" w:ascii="仿宋" w:hAnsi="仿宋" w:eastAsia="仿宋"/>
          <w:b/>
          <w:bCs w:val="0"/>
          <w:sz w:val="32"/>
          <w:szCs w:val="32"/>
          <w:u w:val="none"/>
          <w:lang w:val="en-US" w:eastAsia="zh-CN"/>
        </w:rPr>
        <w:t xml:space="preserve">第十九条 </w:t>
      </w:r>
      <w:r>
        <w:rPr>
          <w:rFonts w:hint="eastAsia" w:ascii="Times New Roman" w:hAnsi="Times New Roman" w:eastAsia="仿宋_GB2312" w:cs="仿宋_GB2312"/>
          <w:b w:val="0"/>
          <w:bCs w:val="0"/>
          <w:i w:val="0"/>
          <w:iCs w:val="0"/>
          <w:caps w:val="0"/>
          <w:color w:val="000000"/>
          <w:spacing w:val="0"/>
          <w:sz w:val="32"/>
          <w:szCs w:val="32"/>
          <w:u w:val="none"/>
          <w:lang w:val="en-US" w:eastAsia="zh-CN"/>
        </w:rPr>
        <w:t>缴存人</w:t>
      </w:r>
      <w:r>
        <w:rPr>
          <w:rFonts w:hint="eastAsia" w:ascii="Times New Roman" w:hAnsi="Times New Roman" w:eastAsia="仿宋_GB2312" w:cs="仿宋_GB2312"/>
          <w:b w:val="0"/>
          <w:bCs w:val="0"/>
          <w:i w:val="0"/>
          <w:iCs w:val="0"/>
          <w:caps w:val="0"/>
          <w:color w:val="000000"/>
          <w:spacing w:val="0"/>
          <w:sz w:val="32"/>
          <w:szCs w:val="32"/>
          <w:u w:val="none"/>
          <w:lang w:eastAsia="zh-CN"/>
        </w:rPr>
        <w:t>有下列情形之一的，不予办理住房公积金提取手续：</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u w:val="none"/>
          <w:lang w:eastAsia="zh-CN"/>
        </w:rPr>
      </w:pPr>
      <w:r>
        <w:rPr>
          <w:rFonts w:hint="eastAsia" w:ascii="Times New Roman" w:hAnsi="Times New Roman" w:eastAsia="仿宋_GB2312" w:cs="仿宋_GB2312"/>
          <w:b w:val="0"/>
          <w:bCs w:val="0"/>
          <w:i w:val="0"/>
          <w:iCs w:val="0"/>
          <w:caps w:val="0"/>
          <w:color w:val="000000"/>
          <w:spacing w:val="0"/>
          <w:sz w:val="32"/>
          <w:szCs w:val="32"/>
          <w:u w:val="none"/>
          <w:lang w:val="en-US" w:eastAsia="zh-CN"/>
        </w:rPr>
        <w:t>（一）缴存</w:t>
      </w:r>
      <w:r>
        <w:rPr>
          <w:rFonts w:hint="eastAsia" w:ascii="Times New Roman" w:hAnsi="Times New Roman" w:eastAsia="仿宋_GB2312" w:cs="仿宋_GB2312"/>
          <w:b w:val="0"/>
          <w:bCs w:val="0"/>
          <w:i w:val="0"/>
          <w:iCs w:val="0"/>
          <w:caps w:val="0"/>
          <w:color w:val="000000"/>
          <w:spacing w:val="0"/>
          <w:sz w:val="32"/>
          <w:szCs w:val="32"/>
          <w:u w:val="none"/>
          <w:lang w:eastAsia="zh-CN"/>
        </w:rPr>
        <w:t>人及其配偶有未结清住房公积金贷款的，但该提取用于偿还公积金贷款本息的除外；</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u w:val="none"/>
          <w:lang w:eastAsia="zh-CN"/>
        </w:rPr>
      </w:pPr>
      <w:r>
        <w:rPr>
          <w:rFonts w:hint="eastAsia" w:ascii="Times New Roman" w:hAnsi="Times New Roman" w:eastAsia="仿宋_GB2312" w:cs="仿宋_GB2312"/>
          <w:b w:val="0"/>
          <w:bCs w:val="0"/>
          <w:i w:val="0"/>
          <w:iCs w:val="0"/>
          <w:caps w:val="0"/>
          <w:color w:val="000000"/>
          <w:spacing w:val="0"/>
          <w:sz w:val="32"/>
          <w:szCs w:val="32"/>
          <w:u w:val="none"/>
          <w:lang w:eastAsia="zh-CN"/>
        </w:rPr>
        <w:t>（</w:t>
      </w:r>
      <w:r>
        <w:rPr>
          <w:rFonts w:hint="eastAsia" w:ascii="Times New Roman" w:hAnsi="Times New Roman" w:eastAsia="仿宋_GB2312" w:cs="仿宋_GB2312"/>
          <w:b w:val="0"/>
          <w:bCs w:val="0"/>
          <w:i w:val="0"/>
          <w:iCs w:val="0"/>
          <w:caps w:val="0"/>
          <w:color w:val="000000"/>
          <w:spacing w:val="0"/>
          <w:sz w:val="32"/>
          <w:szCs w:val="32"/>
          <w:u w:val="none"/>
          <w:lang w:val="en-US" w:eastAsia="zh-CN"/>
        </w:rPr>
        <w:t>二</w:t>
      </w:r>
      <w:r>
        <w:rPr>
          <w:rFonts w:hint="eastAsia" w:ascii="Times New Roman" w:hAnsi="Times New Roman" w:eastAsia="仿宋_GB2312" w:cs="仿宋_GB2312"/>
          <w:b w:val="0"/>
          <w:bCs w:val="0"/>
          <w:i w:val="0"/>
          <w:iCs w:val="0"/>
          <w:caps w:val="0"/>
          <w:color w:val="000000"/>
          <w:spacing w:val="0"/>
          <w:sz w:val="32"/>
          <w:szCs w:val="32"/>
          <w:u w:val="none"/>
          <w:lang w:eastAsia="zh-CN"/>
        </w:rPr>
        <w:t>）</w:t>
      </w:r>
      <w:r>
        <w:rPr>
          <w:rFonts w:hint="eastAsia" w:ascii="Times New Roman" w:hAnsi="Times New Roman" w:eastAsia="仿宋_GB2312" w:cs="仿宋_GB2312"/>
          <w:b w:val="0"/>
          <w:bCs w:val="0"/>
          <w:i w:val="0"/>
          <w:iCs w:val="0"/>
          <w:caps w:val="0"/>
          <w:color w:val="000000"/>
          <w:spacing w:val="0"/>
          <w:sz w:val="32"/>
          <w:szCs w:val="32"/>
          <w:u w:val="none"/>
          <w:lang w:val="en-US" w:eastAsia="zh-CN"/>
        </w:rPr>
        <w:t>缴存</w:t>
      </w:r>
      <w:r>
        <w:rPr>
          <w:rFonts w:hint="eastAsia" w:ascii="Times New Roman" w:hAnsi="Times New Roman" w:eastAsia="仿宋_GB2312" w:cs="仿宋_GB2312"/>
          <w:b w:val="0"/>
          <w:bCs w:val="0"/>
          <w:i w:val="0"/>
          <w:iCs w:val="0"/>
          <w:caps w:val="0"/>
          <w:color w:val="000000"/>
          <w:spacing w:val="0"/>
          <w:sz w:val="32"/>
          <w:szCs w:val="32"/>
          <w:u w:val="none"/>
          <w:lang w:eastAsia="zh-CN"/>
        </w:rPr>
        <w:t>人及其配偶有住房公积金贷款担保责任的；</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u w:val="none"/>
          <w:lang w:eastAsia="zh-CN"/>
        </w:rPr>
      </w:pPr>
      <w:r>
        <w:rPr>
          <w:rFonts w:hint="eastAsia" w:ascii="Times New Roman" w:hAnsi="Times New Roman" w:eastAsia="仿宋_GB2312" w:cs="仿宋_GB2312"/>
          <w:b w:val="0"/>
          <w:bCs w:val="0"/>
          <w:i w:val="0"/>
          <w:iCs w:val="0"/>
          <w:caps w:val="0"/>
          <w:color w:val="000000"/>
          <w:spacing w:val="0"/>
          <w:sz w:val="32"/>
          <w:szCs w:val="32"/>
          <w:u w:val="none"/>
          <w:lang w:eastAsia="zh-CN"/>
        </w:rPr>
        <w:t>（</w:t>
      </w:r>
      <w:r>
        <w:rPr>
          <w:rFonts w:hint="eastAsia" w:ascii="Times New Roman" w:hAnsi="Times New Roman" w:eastAsia="仿宋_GB2312" w:cs="仿宋_GB2312"/>
          <w:b w:val="0"/>
          <w:bCs w:val="0"/>
          <w:i w:val="0"/>
          <w:iCs w:val="0"/>
          <w:caps w:val="0"/>
          <w:color w:val="000000"/>
          <w:spacing w:val="0"/>
          <w:sz w:val="32"/>
          <w:szCs w:val="32"/>
          <w:u w:val="none"/>
          <w:lang w:val="en-US" w:eastAsia="zh-CN"/>
        </w:rPr>
        <w:t>三</w:t>
      </w:r>
      <w:r>
        <w:rPr>
          <w:rFonts w:hint="eastAsia" w:ascii="Times New Roman" w:hAnsi="Times New Roman" w:eastAsia="仿宋_GB2312" w:cs="仿宋_GB2312"/>
          <w:b w:val="0"/>
          <w:bCs w:val="0"/>
          <w:i w:val="0"/>
          <w:iCs w:val="0"/>
          <w:caps w:val="0"/>
          <w:color w:val="000000"/>
          <w:spacing w:val="0"/>
          <w:sz w:val="32"/>
          <w:szCs w:val="32"/>
          <w:u w:val="none"/>
          <w:lang w:eastAsia="zh-CN"/>
        </w:rPr>
        <w:t>）住房公积金账户被依法查封、冻结或依据有关规定限制提取的；</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u w:val="none"/>
          <w:lang w:eastAsia="zh-CN"/>
        </w:rPr>
      </w:pPr>
      <w:r>
        <w:rPr>
          <w:rFonts w:hint="eastAsia" w:ascii="Times New Roman" w:hAnsi="Times New Roman" w:eastAsia="仿宋_GB2312" w:cs="仿宋_GB2312"/>
          <w:b w:val="0"/>
          <w:bCs w:val="0"/>
          <w:i w:val="0"/>
          <w:iCs w:val="0"/>
          <w:caps w:val="0"/>
          <w:color w:val="000000"/>
          <w:spacing w:val="0"/>
          <w:sz w:val="32"/>
          <w:szCs w:val="32"/>
          <w:u w:val="none"/>
          <w:lang w:eastAsia="zh-CN"/>
        </w:rPr>
        <w:t>（</w:t>
      </w:r>
      <w:r>
        <w:rPr>
          <w:rFonts w:hint="eastAsia" w:ascii="Times New Roman" w:hAnsi="Times New Roman" w:eastAsia="仿宋_GB2312" w:cs="仿宋_GB2312"/>
          <w:b w:val="0"/>
          <w:bCs w:val="0"/>
          <w:i w:val="0"/>
          <w:iCs w:val="0"/>
          <w:caps w:val="0"/>
          <w:color w:val="000000"/>
          <w:spacing w:val="0"/>
          <w:sz w:val="32"/>
          <w:szCs w:val="32"/>
          <w:u w:val="none"/>
          <w:lang w:val="en-US" w:eastAsia="zh-CN"/>
        </w:rPr>
        <w:t>四</w:t>
      </w:r>
      <w:r>
        <w:rPr>
          <w:rFonts w:hint="eastAsia" w:ascii="Times New Roman" w:hAnsi="Times New Roman" w:eastAsia="仿宋_GB2312" w:cs="仿宋_GB2312"/>
          <w:b w:val="0"/>
          <w:bCs w:val="0"/>
          <w:i w:val="0"/>
          <w:iCs w:val="0"/>
          <w:caps w:val="0"/>
          <w:color w:val="000000"/>
          <w:spacing w:val="0"/>
          <w:sz w:val="32"/>
          <w:szCs w:val="32"/>
          <w:u w:val="none"/>
          <w:lang w:eastAsia="zh-CN"/>
        </w:rPr>
        <w:t>）提取申请人涉嫌提供虚假信息或以其他方式妨碍提取核验工作的；</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highlight w:val="none"/>
          <w:u w:val="none"/>
          <w:lang w:val="en-US" w:eastAsia="zh-CN"/>
        </w:rPr>
      </w:pPr>
      <w:r>
        <w:rPr>
          <w:rFonts w:hint="eastAsia" w:ascii="Times New Roman" w:hAnsi="Times New Roman" w:eastAsia="仿宋_GB2312" w:cs="仿宋_GB2312"/>
          <w:b w:val="0"/>
          <w:bCs w:val="0"/>
          <w:i w:val="0"/>
          <w:iCs w:val="0"/>
          <w:caps w:val="0"/>
          <w:color w:val="000000"/>
          <w:spacing w:val="0"/>
          <w:sz w:val="32"/>
          <w:szCs w:val="32"/>
          <w:highlight w:val="none"/>
          <w:u w:val="none"/>
          <w:lang w:val="en-US" w:eastAsia="zh-CN"/>
        </w:rPr>
        <w:t>（五）缴存人夫妻双方之间的房屋买卖、夫妻双方及直系亲属之间的房屋赠与或继承等方式无偿取得房屋所有权的。</w:t>
      </w:r>
    </w:p>
    <w:p>
      <w:pPr>
        <w:keepNext w:val="0"/>
        <w:keepLines w:val="0"/>
        <w:pageBreakBefore w:val="0"/>
        <w:kinsoku/>
        <w:wordWrap/>
        <w:overflowPunct/>
        <w:topLinePunct w:val="0"/>
        <w:autoSpaceDE/>
        <w:autoSpaceDN/>
        <w:bidi w:val="0"/>
        <w:adjustRightInd/>
        <w:snapToGrid/>
        <w:spacing w:line="640" w:lineRule="exact"/>
        <w:ind w:firstLine="643" w:firstLineChars="200"/>
        <w:jc w:val="both"/>
        <w:textAlignment w:val="auto"/>
        <w:rPr>
          <w:rFonts w:hint="eastAsia" w:ascii="Times New Roman" w:hAnsi="Times New Roman" w:eastAsia="仿宋_GB2312" w:cs="仿宋_GB2312"/>
          <w:b w:val="0"/>
          <w:bCs w:val="0"/>
          <w:i w:val="0"/>
          <w:iCs w:val="0"/>
          <w:caps w:val="0"/>
          <w:color w:val="000000"/>
          <w:spacing w:val="0"/>
          <w:sz w:val="32"/>
          <w:szCs w:val="32"/>
          <w:u w:val="none"/>
          <w:lang w:eastAsia="zh-CN"/>
        </w:rPr>
      </w:pPr>
      <w:r>
        <w:rPr>
          <w:rFonts w:hint="eastAsia" w:ascii="仿宋_GB2312" w:hAnsi="仿宋_GB2312" w:eastAsia="仿宋_GB2312" w:cs="仿宋_GB2312"/>
          <w:b/>
          <w:bCs/>
          <w:i w:val="0"/>
          <w:iCs w:val="0"/>
          <w:caps w:val="0"/>
          <w:color w:val="000000"/>
          <w:spacing w:val="0"/>
          <w:sz w:val="32"/>
          <w:szCs w:val="32"/>
          <w:u w:val="none"/>
          <w:lang w:val="en-US" w:eastAsia="zh-CN"/>
        </w:rPr>
        <w:t xml:space="preserve">第二十条 </w:t>
      </w:r>
      <w:r>
        <w:rPr>
          <w:rFonts w:hint="eastAsia" w:ascii="Times New Roman" w:hAnsi="Times New Roman" w:eastAsia="仿宋_GB2312" w:cs="仿宋_GB2312"/>
          <w:b w:val="0"/>
          <w:bCs w:val="0"/>
          <w:i w:val="0"/>
          <w:iCs w:val="0"/>
          <w:caps w:val="0"/>
          <w:color w:val="000000"/>
          <w:spacing w:val="0"/>
          <w:sz w:val="32"/>
          <w:szCs w:val="32"/>
          <w:u w:val="none"/>
          <w:lang w:eastAsia="zh-CN"/>
        </w:rPr>
        <w:t>提取申请人应提供以下真实、有效、合法的申请材料，不得隐瞒真实情况或者提供虚假材料：</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u w:val="none"/>
          <w:lang w:val="en-US" w:eastAsia="zh-CN"/>
        </w:rPr>
      </w:pPr>
      <w:r>
        <w:rPr>
          <w:rFonts w:hint="eastAsia" w:ascii="Times New Roman" w:hAnsi="Times New Roman" w:eastAsia="仿宋_GB2312" w:cs="仿宋_GB2312"/>
          <w:b w:val="0"/>
          <w:bCs w:val="0"/>
          <w:i w:val="0"/>
          <w:iCs w:val="0"/>
          <w:caps w:val="0"/>
          <w:color w:val="000000"/>
          <w:spacing w:val="0"/>
          <w:sz w:val="32"/>
          <w:szCs w:val="32"/>
          <w:u w:val="none"/>
          <w:lang w:val="en-US" w:eastAsia="zh-CN"/>
        </w:rPr>
        <w:t>（一）本人有效身份证明原件；</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u w:val="none"/>
          <w:lang w:val="en-US" w:eastAsia="zh-CN"/>
        </w:rPr>
      </w:pPr>
      <w:r>
        <w:rPr>
          <w:rFonts w:hint="eastAsia" w:ascii="Times New Roman" w:hAnsi="Times New Roman" w:eastAsia="仿宋_GB2312" w:cs="仿宋_GB2312"/>
          <w:b w:val="0"/>
          <w:bCs w:val="0"/>
          <w:i w:val="0"/>
          <w:iCs w:val="0"/>
          <w:caps w:val="0"/>
          <w:color w:val="000000"/>
          <w:spacing w:val="0"/>
          <w:sz w:val="32"/>
          <w:szCs w:val="32"/>
          <w:u w:val="none"/>
          <w:lang w:val="en-US" w:eastAsia="zh-CN"/>
        </w:rPr>
        <w:t>（二）收款账户证明材料：提取申请人需提供缴存人本人名下受委托银行Ⅰ类借记卡卡号；</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u w:val="none"/>
          <w:lang w:val="en-US" w:eastAsia="zh-CN"/>
        </w:rPr>
      </w:pPr>
      <w:r>
        <w:rPr>
          <w:rFonts w:hint="eastAsia" w:ascii="Times New Roman" w:hAnsi="Times New Roman" w:eastAsia="仿宋_GB2312" w:cs="仿宋_GB2312"/>
          <w:b w:val="0"/>
          <w:bCs w:val="0"/>
          <w:i w:val="0"/>
          <w:iCs w:val="0"/>
          <w:caps w:val="0"/>
          <w:color w:val="000000"/>
          <w:spacing w:val="0"/>
          <w:sz w:val="32"/>
          <w:szCs w:val="32"/>
          <w:u w:val="none"/>
          <w:lang w:val="en-US" w:eastAsia="zh-CN"/>
        </w:rPr>
        <w:t>（三）购买新建自住住房的，提供《不动产权证书》或经住房城乡建设部门网签备案的《商品房买卖合同》、购房发票；</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u w:val="none"/>
          <w:lang w:val="en-US" w:eastAsia="zh-CN"/>
        </w:rPr>
      </w:pPr>
      <w:r>
        <w:rPr>
          <w:rFonts w:hint="eastAsia" w:ascii="Times New Roman" w:hAnsi="Times New Roman" w:eastAsia="仿宋_GB2312" w:cs="仿宋_GB2312"/>
          <w:b w:val="0"/>
          <w:bCs w:val="0"/>
          <w:i w:val="0"/>
          <w:iCs w:val="0"/>
          <w:caps w:val="0"/>
          <w:color w:val="000000"/>
          <w:spacing w:val="0"/>
          <w:sz w:val="32"/>
          <w:szCs w:val="32"/>
          <w:u w:val="none"/>
          <w:lang w:val="en-US" w:eastAsia="zh-CN"/>
        </w:rPr>
        <w:t>（四）购买再交易自住住房的，提供《不动产权证书》、购房发票；</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u w:val="none"/>
          <w:lang w:val="en-US" w:eastAsia="zh-CN"/>
        </w:rPr>
      </w:pPr>
      <w:r>
        <w:rPr>
          <w:rFonts w:hint="eastAsia" w:ascii="Times New Roman" w:hAnsi="Times New Roman" w:eastAsia="仿宋_GB2312" w:cs="仿宋_GB2312"/>
          <w:b w:val="0"/>
          <w:bCs w:val="0"/>
          <w:i w:val="0"/>
          <w:iCs w:val="0"/>
          <w:caps w:val="0"/>
          <w:color w:val="000000"/>
          <w:spacing w:val="0"/>
          <w:sz w:val="32"/>
          <w:szCs w:val="32"/>
          <w:u w:val="none"/>
          <w:lang w:val="en-US" w:eastAsia="zh-CN"/>
        </w:rPr>
        <w:t>（五）购买拆迁安置房的，提供区县级拆迁安置协议、购房付款凭证；</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u w:val="none"/>
          <w:lang w:val="en-US" w:eastAsia="zh-CN"/>
        </w:rPr>
      </w:pPr>
      <w:r>
        <w:rPr>
          <w:rFonts w:hint="eastAsia" w:ascii="Times New Roman" w:hAnsi="Times New Roman" w:eastAsia="仿宋_GB2312" w:cs="仿宋_GB2312"/>
          <w:b w:val="0"/>
          <w:bCs w:val="0"/>
          <w:i w:val="0"/>
          <w:iCs w:val="0"/>
          <w:caps w:val="0"/>
          <w:color w:val="000000"/>
          <w:spacing w:val="0"/>
          <w:sz w:val="32"/>
          <w:szCs w:val="32"/>
          <w:u w:val="none"/>
          <w:lang w:val="en-US" w:eastAsia="zh-CN"/>
        </w:rPr>
        <w:t>（六）购买保障性住房的，提供《不动产权证书》或经住房城乡建设部门网签备案的《商品房买卖合同》、购房发票；</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u w:val="none"/>
          <w:lang w:val="en-US" w:eastAsia="zh-CN"/>
        </w:rPr>
      </w:pPr>
      <w:r>
        <w:rPr>
          <w:rFonts w:hint="eastAsia" w:ascii="Times New Roman" w:hAnsi="Times New Roman" w:eastAsia="仿宋_GB2312" w:cs="仿宋_GB2312"/>
          <w:b w:val="0"/>
          <w:bCs w:val="0"/>
          <w:i w:val="0"/>
          <w:iCs w:val="0"/>
          <w:caps w:val="0"/>
          <w:color w:val="000000"/>
          <w:spacing w:val="0"/>
          <w:sz w:val="32"/>
          <w:szCs w:val="32"/>
          <w:u w:val="none"/>
          <w:lang w:val="en-US" w:eastAsia="zh-CN"/>
        </w:rPr>
        <w:t>（七）购买公有住房的，提供《不动产权证书》或经住房城乡建设部门网签备案的《商品房买卖合同》、 购房发票；</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u w:val="none"/>
          <w:lang w:val="en-US" w:eastAsia="zh-CN"/>
        </w:rPr>
      </w:pPr>
      <w:r>
        <w:rPr>
          <w:rFonts w:hint="eastAsia" w:ascii="Times New Roman" w:hAnsi="Times New Roman" w:eastAsia="仿宋_GB2312" w:cs="仿宋_GB2312"/>
          <w:b w:val="0"/>
          <w:bCs w:val="0"/>
          <w:i w:val="0"/>
          <w:iCs w:val="0"/>
          <w:caps w:val="0"/>
          <w:color w:val="000000"/>
          <w:spacing w:val="0"/>
          <w:sz w:val="32"/>
          <w:szCs w:val="32"/>
          <w:u w:val="none"/>
          <w:lang w:val="en-US" w:eastAsia="zh-CN"/>
        </w:rPr>
        <w:t>（八）购买法拍住房的，提供《不动产权证书》或经住房城乡建设部门网签备案的《商品房买卖合同》、购房发票、人民法院执行裁定书、或人民法院拍卖成交确认书或契税完税证明等房屋成交价证明材料；</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u w:val="none"/>
          <w:lang w:val="en-US" w:eastAsia="zh-CN"/>
        </w:rPr>
      </w:pPr>
      <w:r>
        <w:rPr>
          <w:rFonts w:hint="eastAsia" w:ascii="Times New Roman" w:hAnsi="Times New Roman" w:eastAsia="仿宋_GB2312" w:cs="仿宋_GB2312"/>
          <w:b w:val="0"/>
          <w:bCs w:val="0"/>
          <w:i w:val="0"/>
          <w:iCs w:val="0"/>
          <w:caps w:val="0"/>
          <w:color w:val="000000"/>
          <w:spacing w:val="0"/>
          <w:sz w:val="32"/>
          <w:szCs w:val="32"/>
          <w:u w:val="none"/>
          <w:lang w:val="en-US" w:eastAsia="zh-CN"/>
        </w:rPr>
        <w:t>（九）在国有（集体）土地上建造自住住房的，提供建设规划许可证明材料、建房款发票；</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u w:val="none"/>
          <w:lang w:val="en-US" w:eastAsia="zh-CN"/>
        </w:rPr>
      </w:pPr>
      <w:r>
        <w:rPr>
          <w:rFonts w:hint="eastAsia" w:ascii="Times New Roman" w:hAnsi="Times New Roman" w:eastAsia="仿宋_GB2312" w:cs="仿宋_GB2312"/>
          <w:b w:val="0"/>
          <w:bCs w:val="0"/>
          <w:i w:val="0"/>
          <w:iCs w:val="0"/>
          <w:caps w:val="0"/>
          <w:color w:val="000000"/>
          <w:spacing w:val="0"/>
          <w:sz w:val="32"/>
          <w:szCs w:val="32"/>
          <w:u w:val="none"/>
          <w:lang w:val="en-US" w:eastAsia="zh-CN"/>
        </w:rPr>
        <w:t>（十）在国有（集体）土地上翻建自住住房的，提供原房屋所有权证或原房屋《不动产权证书》，旧房翻建许可证明材料、翻建费用发票；</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u w:val="none"/>
          <w:lang w:val="en-US" w:eastAsia="zh-CN"/>
        </w:rPr>
      </w:pPr>
      <w:r>
        <w:rPr>
          <w:rFonts w:hint="eastAsia" w:ascii="Times New Roman" w:hAnsi="Times New Roman" w:eastAsia="仿宋_GB2312" w:cs="仿宋_GB2312"/>
          <w:b w:val="0"/>
          <w:bCs w:val="0"/>
          <w:i w:val="0"/>
          <w:iCs w:val="0"/>
          <w:caps w:val="0"/>
          <w:color w:val="000000"/>
          <w:spacing w:val="0"/>
          <w:sz w:val="32"/>
          <w:szCs w:val="32"/>
          <w:u w:val="none"/>
          <w:lang w:val="en-US" w:eastAsia="zh-CN"/>
        </w:rPr>
        <w:t>（十一）大修自住住房的，提供房屋所有权证或《不动产权证书》、我市房屋所在地房屋安全鉴定机构或具有房屋安全鉴定资质的单位出具的房屋危险性鉴定为C级或D级房屋安全鉴定报告、大修费用发票；</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u w:val="none"/>
          <w:lang w:val="en-US" w:eastAsia="zh-CN"/>
        </w:rPr>
      </w:pPr>
      <w:r>
        <w:rPr>
          <w:rFonts w:hint="eastAsia" w:ascii="Times New Roman" w:hAnsi="Times New Roman" w:eastAsia="仿宋_GB2312" w:cs="仿宋_GB2312"/>
          <w:b w:val="0"/>
          <w:bCs w:val="0"/>
          <w:i w:val="0"/>
          <w:iCs w:val="0"/>
          <w:caps w:val="0"/>
          <w:color w:val="000000"/>
          <w:spacing w:val="0"/>
          <w:sz w:val="32"/>
          <w:szCs w:val="32"/>
          <w:u w:val="none"/>
          <w:lang w:val="en-US" w:eastAsia="zh-CN"/>
        </w:rPr>
        <w:t>（十二）无房缴存人租房自住的，提供申请人婚姻关系证明及户籍证明材料；</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u w:val="none"/>
          <w:lang w:val="en-US" w:eastAsia="zh-CN"/>
        </w:rPr>
      </w:pPr>
      <w:r>
        <w:rPr>
          <w:rFonts w:hint="eastAsia" w:ascii="Times New Roman" w:hAnsi="Times New Roman" w:eastAsia="仿宋_GB2312" w:cs="仿宋_GB2312"/>
          <w:b w:val="0"/>
          <w:bCs w:val="0"/>
          <w:i w:val="0"/>
          <w:iCs w:val="0"/>
          <w:caps w:val="0"/>
          <w:color w:val="000000"/>
          <w:spacing w:val="0"/>
          <w:sz w:val="32"/>
          <w:szCs w:val="32"/>
          <w:u w:val="none"/>
          <w:lang w:val="en-US" w:eastAsia="zh-CN"/>
        </w:rPr>
        <w:t>（十三）还清其他中心住房公积金贷款的，提供其贷款公积金中心出具的贷款结清凭证；</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u w:val="none"/>
          <w:lang w:val="en-US" w:eastAsia="zh-CN"/>
        </w:rPr>
      </w:pPr>
      <w:r>
        <w:rPr>
          <w:rFonts w:hint="eastAsia" w:ascii="Times New Roman" w:hAnsi="Times New Roman" w:eastAsia="仿宋_GB2312" w:cs="仿宋_GB2312"/>
          <w:b w:val="0"/>
          <w:bCs w:val="0"/>
          <w:i w:val="0"/>
          <w:iCs w:val="0"/>
          <w:caps w:val="0"/>
          <w:color w:val="000000"/>
          <w:spacing w:val="0"/>
          <w:sz w:val="32"/>
          <w:szCs w:val="32"/>
          <w:u w:val="none"/>
          <w:lang w:val="en-US" w:eastAsia="zh-CN"/>
        </w:rPr>
        <w:t>（十四）还清商业银行个人住房贷款的，提供住房城乡建设部门网签备案的《商品房买卖合同》或《不动产权证书》、商业银行借款合同、商业银行出具的贷款结清凭证、《个人信用报告》本人版；</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u w:val="none"/>
          <w:lang w:val="en-US" w:eastAsia="zh-CN"/>
        </w:rPr>
      </w:pPr>
      <w:r>
        <w:rPr>
          <w:rFonts w:hint="eastAsia" w:ascii="Times New Roman" w:hAnsi="Times New Roman" w:eastAsia="仿宋_GB2312" w:cs="仿宋_GB2312"/>
          <w:b w:val="0"/>
          <w:bCs w:val="0"/>
          <w:i w:val="0"/>
          <w:iCs w:val="0"/>
          <w:caps w:val="0"/>
          <w:color w:val="000000"/>
          <w:spacing w:val="0"/>
          <w:sz w:val="32"/>
          <w:szCs w:val="32"/>
          <w:u w:val="none"/>
          <w:lang w:val="en-US" w:eastAsia="zh-CN"/>
        </w:rPr>
        <w:t>（十五）偿还商业银行个人住房贷款按年提取的，提供住房城乡建设部门网签备案的《商品房买卖合同》或《不动产权证书》、商业银行借款合同、商业银行出具的上一年度还款流水、《个人信用报告》本人版；</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u w:val="none"/>
          <w:lang w:val="en-US" w:eastAsia="zh-CN"/>
        </w:rPr>
      </w:pPr>
      <w:r>
        <w:rPr>
          <w:rFonts w:hint="eastAsia" w:ascii="Times New Roman" w:hAnsi="Times New Roman" w:eastAsia="仿宋_GB2312" w:cs="仿宋_GB2312"/>
          <w:b w:val="0"/>
          <w:bCs w:val="0"/>
          <w:i w:val="0"/>
          <w:iCs w:val="0"/>
          <w:caps w:val="0"/>
          <w:color w:val="000000"/>
          <w:spacing w:val="0"/>
          <w:sz w:val="32"/>
          <w:szCs w:val="32"/>
          <w:u w:val="none"/>
          <w:lang w:val="en-US" w:eastAsia="zh-CN"/>
        </w:rPr>
        <w:t>（十六）缴存人死亡或被宣告死亡的，死亡缴存人户籍注销证明或死亡证明或宣告死亡证明、继承关系（受遗赠关系）证明文件、承诺书。上述情形提取时，如公积金中心有理由认为可能损害其他继承人合法权益的，有权审批决定是否批准提取或批准提取的份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3"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仿宋_GB2312" w:hAnsi="仿宋_GB2312" w:eastAsia="仿宋_GB2312" w:cs="仿宋_GB2312"/>
          <w:b/>
          <w:bCs/>
          <w:i w:val="0"/>
          <w:iCs w:val="0"/>
          <w:caps w:val="0"/>
          <w:color w:val="000000"/>
          <w:spacing w:val="0"/>
          <w:sz w:val="32"/>
          <w:szCs w:val="32"/>
          <w:u w:val="none"/>
          <w:lang w:val="en-US" w:eastAsia="zh-CN"/>
        </w:rPr>
        <w:t xml:space="preserve">第二十一条 </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缴存人办理提取业务的程序、提取额度、办理时限等未尽事宜及经公积金中心审核认定符合提取政策的其他情形，参照包头市住房公积金管理委员会（以下简称“管委会”）及公积金中心公布的现行住房公积金提取政策及有关规定执行。</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jc w:val="center"/>
        <w:textAlignment w:val="auto"/>
        <w:outlineLvl w:val="9"/>
        <w:rPr>
          <w:rFonts w:hint="eastAsia" w:ascii="黑体" w:hAnsi="黑体" w:eastAsia="黑体" w:cs="黑体"/>
          <w:b w:val="0"/>
          <w:bCs w:val="0"/>
          <w:i w:val="0"/>
          <w:iCs w:val="0"/>
          <w:caps w:val="0"/>
          <w:color w:val="000000"/>
          <w:spacing w:val="0"/>
          <w:sz w:val="32"/>
          <w:szCs w:val="32"/>
          <w:u w:val="none"/>
          <w:lang w:val="en-US" w:eastAsia="zh-CN"/>
        </w:rPr>
      </w:pPr>
      <w:r>
        <w:rPr>
          <w:rFonts w:hint="eastAsia" w:ascii="黑体" w:hAnsi="黑体" w:eastAsia="黑体" w:cs="黑体"/>
          <w:b w:val="0"/>
          <w:bCs w:val="0"/>
          <w:i w:val="0"/>
          <w:iCs w:val="0"/>
          <w:caps w:val="0"/>
          <w:color w:val="000000"/>
          <w:spacing w:val="0"/>
          <w:kern w:val="2"/>
          <w:sz w:val="32"/>
          <w:szCs w:val="32"/>
          <w:u w:val="none"/>
          <w:lang w:val="en-US" w:eastAsia="zh-CN" w:bidi="ar-SA"/>
        </w:rPr>
        <w:t>第</w:t>
      </w:r>
      <w:r>
        <w:rPr>
          <w:rFonts w:hint="eastAsia" w:ascii="黑体" w:hAnsi="黑体" w:eastAsia="黑体" w:cs="黑体"/>
          <w:b w:val="0"/>
          <w:bCs w:val="0"/>
          <w:i w:val="0"/>
          <w:iCs w:val="0"/>
          <w:caps w:val="0"/>
          <w:color w:val="000000"/>
          <w:spacing w:val="0"/>
          <w:sz w:val="32"/>
          <w:szCs w:val="32"/>
          <w:u w:val="none"/>
          <w:lang w:val="en-US" w:eastAsia="zh-CN"/>
        </w:rPr>
        <w:t>四章 贷款业务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3" w:firstLineChars="200"/>
        <w:jc w:val="both"/>
        <w:textAlignment w:val="auto"/>
        <w:outlineLvl w:val="9"/>
        <w:rPr>
          <w:rFonts w:hint="eastAsia" w:ascii="仿宋_GB2312" w:hAnsi="仿宋_GB2312" w:eastAsia="仿宋_GB2312" w:cs="仿宋_GB2312"/>
          <w:b w:val="0"/>
          <w:bCs w:val="0"/>
          <w:i w:val="0"/>
          <w:iCs w:val="0"/>
          <w:caps w:val="0"/>
          <w:color w:val="000000"/>
          <w:spacing w:val="0"/>
          <w:sz w:val="32"/>
          <w:szCs w:val="32"/>
          <w:u w:val="none"/>
          <w:lang w:val="en-US" w:eastAsia="zh-CN"/>
        </w:rPr>
      </w:pPr>
      <w:r>
        <w:rPr>
          <w:rFonts w:hint="eastAsia" w:ascii="仿宋_GB2312" w:hAnsi="仿宋_GB2312" w:eastAsia="仿宋_GB2312" w:cs="仿宋_GB2312"/>
          <w:b/>
          <w:bCs/>
          <w:i w:val="0"/>
          <w:iCs w:val="0"/>
          <w:caps w:val="0"/>
          <w:color w:val="000000"/>
          <w:spacing w:val="0"/>
          <w:sz w:val="32"/>
          <w:szCs w:val="32"/>
          <w:u w:val="none"/>
        </w:rPr>
        <w:t>第</w:t>
      </w:r>
      <w:r>
        <w:rPr>
          <w:rFonts w:hint="eastAsia" w:ascii="仿宋_GB2312" w:hAnsi="仿宋_GB2312" w:eastAsia="仿宋_GB2312" w:cs="仿宋_GB2312"/>
          <w:b/>
          <w:bCs/>
          <w:i w:val="0"/>
          <w:iCs w:val="0"/>
          <w:caps w:val="0"/>
          <w:color w:val="000000"/>
          <w:spacing w:val="0"/>
          <w:sz w:val="32"/>
          <w:szCs w:val="32"/>
          <w:u w:val="none"/>
          <w:lang w:eastAsia="zh-CN"/>
        </w:rPr>
        <w:t>二十二</w:t>
      </w:r>
      <w:r>
        <w:rPr>
          <w:rFonts w:hint="eastAsia" w:ascii="仿宋_GB2312" w:hAnsi="仿宋_GB2312" w:eastAsia="仿宋_GB2312" w:cs="仿宋_GB2312"/>
          <w:b/>
          <w:bCs/>
          <w:i w:val="0"/>
          <w:iCs w:val="0"/>
          <w:caps w:val="0"/>
          <w:color w:val="000000"/>
          <w:spacing w:val="0"/>
          <w:sz w:val="32"/>
          <w:szCs w:val="32"/>
          <w:u w:val="none"/>
        </w:rPr>
        <w:t>条</w:t>
      </w:r>
      <w:r>
        <w:rPr>
          <w:rFonts w:hint="eastAsia" w:ascii="仿宋_GB2312" w:hAnsi="仿宋_GB2312" w:eastAsia="仿宋_GB2312" w:cs="仿宋_GB2312"/>
          <w:b/>
          <w:bCs/>
          <w:i w:val="0"/>
          <w:iCs w:val="0"/>
          <w:caps w:val="0"/>
          <w:color w:val="000000"/>
          <w:spacing w:val="0"/>
          <w:sz w:val="32"/>
          <w:szCs w:val="32"/>
          <w:u w:val="none"/>
          <w:lang w:val="en-US" w:eastAsia="zh-CN"/>
        </w:rPr>
        <w:t xml:space="preserve"> </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缴存人购买包头市自住住房时可向公积金中心申请公积金贷款，公积金贷款不得用于购买商业用房、办公用房、投资等其他用途。</w:t>
      </w:r>
    </w:p>
    <w:p>
      <w:pPr>
        <w:pStyle w:val="5"/>
        <w:keepNext w:val="0"/>
        <w:keepLines w:val="0"/>
        <w:pageBreakBefore w:val="0"/>
        <w:widowControl/>
        <w:kinsoku/>
        <w:wordWrap/>
        <w:overflowPunct/>
        <w:topLinePunct w:val="0"/>
        <w:autoSpaceDE/>
        <w:autoSpaceDN/>
        <w:bidi w:val="0"/>
        <w:snapToGrid/>
        <w:spacing w:before="0" w:beforeAutospacing="0" w:after="0" w:afterAutospacing="0" w:line="640" w:lineRule="exact"/>
        <w:ind w:firstLine="643"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仿宋_GB2312" w:hAnsi="仿宋_GB2312" w:eastAsia="仿宋_GB2312" w:cs="仿宋_GB2312"/>
          <w:b/>
          <w:bCs/>
          <w:kern w:val="2"/>
          <w:sz w:val="32"/>
          <w:szCs w:val="32"/>
          <w:u w:val="none"/>
        </w:rPr>
        <w:t>第</w:t>
      </w:r>
      <w:r>
        <w:rPr>
          <w:rFonts w:hint="eastAsia" w:ascii="仿宋_GB2312" w:hAnsi="仿宋_GB2312" w:eastAsia="仿宋_GB2312" w:cs="仿宋_GB2312"/>
          <w:b/>
          <w:bCs/>
          <w:kern w:val="2"/>
          <w:sz w:val="32"/>
          <w:szCs w:val="32"/>
          <w:u w:val="none"/>
          <w:lang w:eastAsia="zh-CN"/>
        </w:rPr>
        <w:t>二</w:t>
      </w:r>
      <w:r>
        <w:rPr>
          <w:rFonts w:hint="eastAsia" w:ascii="仿宋_GB2312" w:hAnsi="仿宋_GB2312" w:eastAsia="仿宋_GB2312" w:cs="仿宋_GB2312"/>
          <w:b/>
          <w:bCs/>
          <w:kern w:val="2"/>
          <w:sz w:val="32"/>
          <w:szCs w:val="32"/>
          <w:u w:val="none"/>
        </w:rPr>
        <w:t>十三条</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 xml:space="preserve"> 缴存人申请住房公积金贷款应符合以下条件：</w:t>
      </w:r>
    </w:p>
    <w:p>
      <w:pPr>
        <w:pStyle w:val="5"/>
        <w:keepNext w:val="0"/>
        <w:keepLines w:val="0"/>
        <w:pageBreakBefore w:val="0"/>
        <w:widowControl/>
        <w:numPr>
          <w:ilvl w:val="0"/>
          <w:numId w:val="1"/>
        </w:numPr>
        <w:kinsoku/>
        <w:wordWrap/>
        <w:overflowPunct/>
        <w:topLinePunct w:val="0"/>
        <w:autoSpaceDE/>
        <w:autoSpaceDN/>
        <w:bidi w:val="0"/>
        <w:snapToGrid/>
        <w:spacing w:before="0" w:beforeAutospacing="0" w:after="0" w:afterAutospacing="0"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借款申请人及共同申请人为符合法定就业年龄且具有完全民事行为能力的自然人；</w:t>
      </w:r>
    </w:p>
    <w:p>
      <w:pPr>
        <w:pStyle w:val="5"/>
        <w:keepNext w:val="0"/>
        <w:keepLines w:val="0"/>
        <w:pageBreakBefore w:val="0"/>
        <w:widowControl/>
        <w:kinsoku/>
        <w:wordWrap/>
        <w:overflowPunct/>
        <w:topLinePunct w:val="0"/>
        <w:autoSpaceDE/>
        <w:autoSpaceDN/>
        <w:bidi w:val="0"/>
        <w:snapToGrid/>
        <w:spacing w:before="0" w:beforeAutospacing="0" w:after="0" w:afterAutospacing="0"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二）个人住房公积金账户状态正常且按照《缴存使用协议》已履行约定义务，即缴存人选择按照月、季、年定期缴存的，申请住房公积金贷款时须连续、按时、足额缴存住房公积金6个月（含）以上；缴存人选择灵活缴存的，申请住房公积金贷款时须以灵活就业人员身份开户且首次缴存住房公积金满6个月（含）以上；</w:t>
      </w:r>
    </w:p>
    <w:p>
      <w:pPr>
        <w:pStyle w:val="5"/>
        <w:keepNext w:val="0"/>
        <w:keepLines w:val="0"/>
        <w:pageBreakBefore w:val="0"/>
        <w:widowControl/>
        <w:kinsoku/>
        <w:wordWrap/>
        <w:overflowPunct/>
        <w:topLinePunct w:val="0"/>
        <w:autoSpaceDE/>
        <w:autoSpaceDN/>
        <w:bidi w:val="0"/>
        <w:snapToGrid/>
        <w:spacing w:before="0" w:beforeAutospacing="0" w:after="0" w:afterAutospacing="0"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（三）具有偿还贷款能力，个人信用状况良好，同意授权受委托银行和公积金中心查询《个人信用报告》和个人信用信息；</w:t>
      </w:r>
    </w:p>
    <w:p>
      <w:pPr>
        <w:pStyle w:val="5"/>
        <w:keepNext w:val="0"/>
        <w:keepLines w:val="0"/>
        <w:pageBreakBefore w:val="0"/>
        <w:widowControl/>
        <w:kinsoku/>
        <w:wordWrap/>
        <w:overflowPunct/>
        <w:topLinePunct w:val="0"/>
        <w:autoSpaceDE/>
        <w:autoSpaceDN/>
        <w:bidi w:val="0"/>
        <w:snapToGrid/>
        <w:spacing w:before="0" w:beforeAutospacing="0" w:after="0" w:afterAutospacing="0"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（四）购买住房的首付款不低于本市住房公积金贷款规定的房屋总价比例；</w:t>
      </w:r>
    </w:p>
    <w:p>
      <w:pPr>
        <w:pStyle w:val="5"/>
        <w:keepNext w:val="0"/>
        <w:keepLines w:val="0"/>
        <w:pageBreakBefore w:val="0"/>
        <w:widowControl/>
        <w:kinsoku/>
        <w:wordWrap/>
        <w:overflowPunct/>
        <w:topLinePunct w:val="0"/>
        <w:autoSpaceDE/>
        <w:autoSpaceDN/>
        <w:bidi w:val="0"/>
        <w:snapToGrid/>
        <w:spacing w:before="0" w:beforeAutospacing="0" w:after="0" w:afterAutospacing="0"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（五）能够落实公积金中心认可的担保方式；</w:t>
      </w:r>
    </w:p>
    <w:p>
      <w:pPr>
        <w:pStyle w:val="5"/>
        <w:keepNext w:val="0"/>
        <w:keepLines w:val="0"/>
        <w:pageBreakBefore w:val="0"/>
        <w:widowControl/>
        <w:kinsoku/>
        <w:wordWrap/>
        <w:overflowPunct/>
        <w:topLinePunct w:val="0"/>
        <w:autoSpaceDE/>
        <w:autoSpaceDN/>
        <w:bidi w:val="0"/>
        <w:snapToGrid/>
        <w:spacing w:before="0" w:beforeAutospacing="0" w:after="0" w:afterAutospacing="0"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（六）符合公积金中心及《缴存使用协议》规定的其他贷款条件。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3"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仿宋_GB2312" w:hAnsi="仿宋_GB2312" w:eastAsia="仿宋_GB2312" w:cs="仿宋_GB2312"/>
          <w:b/>
          <w:bCs/>
          <w:i w:val="0"/>
          <w:iCs w:val="0"/>
          <w:caps w:val="0"/>
          <w:color w:val="000000"/>
          <w:spacing w:val="0"/>
          <w:sz w:val="32"/>
          <w:szCs w:val="32"/>
          <w:u w:val="none"/>
          <w:lang w:val="en-US" w:eastAsia="zh-CN"/>
        </w:rPr>
        <w:t xml:space="preserve">第二十四条 </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缴存人及其配偶有下列情况之一的，不予办理公积金贷款：</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（一）有未结清住房公积金贷款的；</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（二）有住房公积金贷款担保责任的；</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（三）住房公积金账户被依法查封、冻结或依据有关规定限制贷款的；</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highlight w:val="none"/>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highlight w:val="none"/>
          <w:u w:val="none"/>
          <w:lang w:val="en-US" w:eastAsia="zh-CN" w:bidi="ar-SA"/>
        </w:rPr>
        <w:t>（四）借款申请人夫妻双方之间的房屋买卖、夫妻双方及直系亲属之间的赠与、继承等取得不动产的。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3"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仿宋_GB2312" w:hAnsi="仿宋_GB2312" w:eastAsia="仿宋_GB2312" w:cs="仿宋_GB2312"/>
          <w:b/>
          <w:bCs/>
          <w:i w:val="0"/>
          <w:iCs w:val="0"/>
          <w:caps w:val="0"/>
          <w:color w:val="000000"/>
          <w:spacing w:val="0"/>
          <w:sz w:val="32"/>
          <w:szCs w:val="32"/>
          <w:u w:val="none"/>
        </w:rPr>
        <w:t>第</w:t>
      </w:r>
      <w:r>
        <w:rPr>
          <w:rFonts w:hint="eastAsia" w:ascii="仿宋_GB2312" w:hAnsi="仿宋_GB2312" w:eastAsia="仿宋_GB2312" w:cs="仿宋_GB2312"/>
          <w:b/>
          <w:bCs/>
          <w:i w:val="0"/>
          <w:iCs w:val="0"/>
          <w:caps w:val="0"/>
          <w:color w:val="000000"/>
          <w:spacing w:val="0"/>
          <w:sz w:val="32"/>
          <w:szCs w:val="32"/>
          <w:u w:val="none"/>
          <w:lang w:val="en-US" w:eastAsia="zh-CN"/>
        </w:rPr>
        <w:t>二十五</w:t>
      </w:r>
      <w:r>
        <w:rPr>
          <w:rFonts w:hint="eastAsia" w:ascii="仿宋_GB2312" w:hAnsi="仿宋_GB2312" w:eastAsia="仿宋_GB2312" w:cs="仿宋_GB2312"/>
          <w:b/>
          <w:bCs/>
          <w:i w:val="0"/>
          <w:iCs w:val="0"/>
          <w:caps w:val="0"/>
          <w:color w:val="000000"/>
          <w:spacing w:val="0"/>
          <w:sz w:val="32"/>
          <w:szCs w:val="32"/>
          <w:u w:val="none"/>
        </w:rPr>
        <w:t>条</w:t>
      </w:r>
      <w:r>
        <w:rPr>
          <w:rFonts w:hint="eastAsia" w:ascii="仿宋_GB2312" w:hAnsi="仿宋_GB2312" w:eastAsia="仿宋_GB2312" w:cs="仿宋_GB2312"/>
          <w:b/>
          <w:bCs/>
          <w:i w:val="0"/>
          <w:iCs w:val="0"/>
          <w:caps w:val="0"/>
          <w:color w:val="000000"/>
          <w:spacing w:val="0"/>
          <w:sz w:val="32"/>
          <w:szCs w:val="32"/>
          <w:u w:val="none"/>
          <w:lang w:val="en-US" w:eastAsia="zh-CN"/>
        </w:rPr>
        <w:t xml:space="preserve"> </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缴存人及其配偶在个人征信系统、公积金信息系统和住房公积金中心认可其他信用管理系统中存在以下负面信息之一的，不予办理公积金贷款：</w:t>
      </w:r>
    </w:p>
    <w:p>
      <w:pPr>
        <w:pStyle w:val="5"/>
        <w:keepNext w:val="0"/>
        <w:keepLines w:val="0"/>
        <w:pageBreakBefore w:val="0"/>
        <w:widowControl/>
        <w:kinsoku/>
        <w:wordWrap/>
        <w:overflowPunct/>
        <w:topLinePunct w:val="0"/>
        <w:autoSpaceDE/>
        <w:autoSpaceDN/>
        <w:bidi w:val="0"/>
        <w:snapToGrid/>
        <w:spacing w:before="0" w:beforeAutospacing="0" w:after="0" w:afterAutospacing="0"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（一）当前逾期尚未偿还的，或担保人代偿的;</w:t>
      </w:r>
    </w:p>
    <w:p>
      <w:pPr>
        <w:pStyle w:val="5"/>
        <w:keepNext w:val="0"/>
        <w:keepLines w:val="0"/>
        <w:pageBreakBefore w:val="0"/>
        <w:widowControl/>
        <w:kinsoku/>
        <w:wordWrap/>
        <w:overflowPunct/>
        <w:topLinePunct w:val="0"/>
        <w:autoSpaceDE/>
        <w:autoSpaceDN/>
        <w:bidi w:val="0"/>
        <w:snapToGrid/>
        <w:spacing w:before="0" w:beforeAutospacing="0" w:after="0" w:afterAutospacing="0"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（二）单笔贷款或单张贷记卡近两年内连续逾期3期(含)以上的或累计逾期6期(含)以上的；</w:t>
      </w:r>
    </w:p>
    <w:p>
      <w:pPr>
        <w:pStyle w:val="5"/>
        <w:keepNext w:val="0"/>
        <w:keepLines w:val="0"/>
        <w:pageBreakBefore w:val="0"/>
        <w:widowControl/>
        <w:kinsoku/>
        <w:wordWrap/>
        <w:overflowPunct/>
        <w:topLinePunct w:val="0"/>
        <w:autoSpaceDE/>
        <w:autoSpaceDN/>
        <w:bidi w:val="0"/>
        <w:snapToGrid/>
        <w:spacing w:before="0" w:beforeAutospacing="0" w:after="0" w:afterAutospacing="0"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（三）单张准贷记卡近两年内透支180天以上未还的；</w:t>
      </w:r>
    </w:p>
    <w:p>
      <w:pPr>
        <w:pStyle w:val="5"/>
        <w:keepNext w:val="0"/>
        <w:keepLines w:val="0"/>
        <w:pageBreakBefore w:val="0"/>
        <w:widowControl/>
        <w:kinsoku/>
        <w:wordWrap/>
        <w:overflowPunct/>
        <w:topLinePunct w:val="0"/>
        <w:autoSpaceDE/>
        <w:autoSpaceDN/>
        <w:bidi w:val="0"/>
        <w:snapToGrid/>
        <w:spacing w:before="0" w:beforeAutospacing="0" w:after="0" w:afterAutospacing="0"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（四）存在呆账、核销、止付、司法冻结、被强制执行等的；</w:t>
      </w:r>
    </w:p>
    <w:p>
      <w:pPr>
        <w:pStyle w:val="5"/>
        <w:keepNext w:val="0"/>
        <w:keepLines w:val="0"/>
        <w:pageBreakBefore w:val="0"/>
        <w:widowControl/>
        <w:kinsoku/>
        <w:wordWrap/>
        <w:overflowPunct/>
        <w:topLinePunct w:val="0"/>
        <w:autoSpaceDE/>
        <w:autoSpaceDN/>
        <w:bidi w:val="0"/>
        <w:snapToGrid/>
        <w:spacing w:before="0" w:beforeAutospacing="0" w:after="0" w:afterAutospacing="0"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（五）被纳入失信被执行人或限制消费人员名单的；</w:t>
      </w:r>
    </w:p>
    <w:p>
      <w:pPr>
        <w:pStyle w:val="5"/>
        <w:keepNext w:val="0"/>
        <w:keepLines w:val="0"/>
        <w:pageBreakBefore w:val="0"/>
        <w:widowControl/>
        <w:kinsoku/>
        <w:wordWrap/>
        <w:overflowPunct/>
        <w:topLinePunct w:val="0"/>
        <w:autoSpaceDE/>
        <w:autoSpaceDN/>
        <w:bidi w:val="0"/>
        <w:snapToGrid/>
        <w:spacing w:before="0" w:beforeAutospacing="0" w:after="0" w:afterAutospacing="0"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（六）贷记卡存在近12个月内未还最低还款额次数超过6期记录（不含卡费、年费）；</w:t>
      </w:r>
    </w:p>
    <w:p>
      <w:pPr>
        <w:pStyle w:val="5"/>
        <w:keepNext w:val="0"/>
        <w:keepLines w:val="0"/>
        <w:pageBreakBefore w:val="0"/>
        <w:widowControl/>
        <w:kinsoku/>
        <w:wordWrap/>
        <w:overflowPunct/>
        <w:topLinePunct w:val="0"/>
        <w:autoSpaceDE/>
        <w:autoSpaceDN/>
        <w:bidi w:val="0"/>
        <w:snapToGrid/>
        <w:spacing w:before="0" w:beforeAutospacing="0" w:after="0" w:afterAutospacing="0"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（七）存在近两年内贷款以资抵债等记录；</w:t>
      </w:r>
    </w:p>
    <w:p>
      <w:pPr>
        <w:pStyle w:val="5"/>
        <w:keepNext w:val="0"/>
        <w:keepLines w:val="0"/>
        <w:pageBreakBefore w:val="0"/>
        <w:widowControl/>
        <w:kinsoku/>
        <w:wordWrap/>
        <w:overflowPunct/>
        <w:topLinePunct w:val="0"/>
        <w:autoSpaceDE/>
        <w:autoSpaceDN/>
        <w:bidi w:val="0"/>
        <w:snapToGrid/>
        <w:spacing w:before="0" w:beforeAutospacing="0" w:after="0" w:afterAutospacing="0"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（八）存在近两年内因信用不良被起诉的记录；</w:t>
      </w:r>
    </w:p>
    <w:p>
      <w:pPr>
        <w:pStyle w:val="5"/>
        <w:keepNext w:val="0"/>
        <w:keepLines w:val="0"/>
        <w:pageBreakBefore w:val="0"/>
        <w:widowControl/>
        <w:kinsoku/>
        <w:wordWrap/>
        <w:overflowPunct/>
        <w:topLinePunct w:val="0"/>
        <w:autoSpaceDE/>
        <w:autoSpaceDN/>
        <w:bidi w:val="0"/>
        <w:snapToGrid/>
        <w:spacing w:before="0" w:beforeAutospacing="0" w:after="0" w:afterAutospacing="0"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（九）住房公积金信用评价管理系统中存在影响贷款失信行为登记的。</w:t>
      </w:r>
    </w:p>
    <w:p>
      <w:pPr>
        <w:pStyle w:val="5"/>
        <w:keepNext w:val="0"/>
        <w:keepLines w:val="0"/>
        <w:pageBreakBefore w:val="0"/>
        <w:widowControl/>
        <w:kinsoku/>
        <w:wordWrap/>
        <w:overflowPunct/>
        <w:topLinePunct w:val="0"/>
        <w:autoSpaceDE/>
        <w:autoSpaceDN/>
        <w:bidi w:val="0"/>
        <w:snapToGrid/>
        <w:spacing w:before="0" w:beforeAutospacing="0" w:after="0" w:afterAutospacing="0"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借款申请人的信用状况以个人征信系统、公积金信息系统等查询结果为依据，同时结合具体逾期时间、逾期金额等因素进行综合评估。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仿宋_GB2312" w:hAnsi="仿宋_GB2312" w:eastAsia="仿宋_GB2312" w:cs="仿宋_GB2312"/>
          <w:b/>
          <w:bCs/>
          <w:i w:val="0"/>
          <w:iCs w:val="0"/>
          <w:caps w:val="0"/>
          <w:color w:val="000000"/>
          <w:spacing w:val="0"/>
          <w:sz w:val="32"/>
          <w:szCs w:val="32"/>
          <w:u w:val="none"/>
          <w:lang w:eastAsia="zh-CN"/>
        </w:rPr>
        <w:t>第二十六条</w:t>
      </w:r>
      <w:r>
        <w:rPr>
          <w:rFonts w:hint="eastAsia" w:ascii="仿宋_GB2312" w:hAnsi="仿宋_GB2312" w:eastAsia="仿宋_GB2312" w:cs="仿宋_GB2312"/>
          <w:b/>
          <w:bCs/>
          <w:i w:val="0"/>
          <w:iCs w:val="0"/>
          <w:caps w:val="0"/>
          <w:color w:val="000000"/>
          <w:spacing w:val="0"/>
          <w:sz w:val="32"/>
          <w:szCs w:val="32"/>
          <w:u w:val="none"/>
          <w:lang w:val="en-US" w:eastAsia="zh-CN"/>
        </w:rPr>
        <w:t xml:space="preserve"> </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如存在以下情形，住房公积金中心不予受理缴存人及其配偶的贷款申请或已发放贷款的要求借款人提前清偿剩余未还贷款本息：</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（一）贷款所购房屋纳入征收征拆范围的；</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 xml:space="preserve">（二）所购房屋被有关部门认定为已改变产权用途的；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（三）抵押物存在权利瑕疵或其他不宜处置情形的；</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（四）其他违反借款合同约定事项情形的。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bCs/>
          <w:i w:val="0"/>
          <w:iCs w:val="0"/>
          <w:caps w:val="0"/>
          <w:color w:val="000000"/>
          <w:spacing w:val="0"/>
          <w:kern w:val="2"/>
          <w:sz w:val="32"/>
          <w:szCs w:val="32"/>
          <w:u w:val="none"/>
          <w:lang w:val="en-US" w:eastAsia="zh-CN" w:bidi="ar-SA"/>
        </w:rPr>
        <w:t>第二十七条</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 xml:space="preserve"> 选择按月（季、年）缴存方式的缴存人申请公积金贷款额度的确定：</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（一）贷款额度（按账户余额测算）=缴存人及其配偶住房公积金账户余额×账户余额倍数；</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000000"/>
          <w:spacing w:val="0"/>
          <w:sz w:val="32"/>
          <w:szCs w:val="32"/>
          <w:u w:val="none"/>
          <w:lang w:val="en-US" w:eastAsia="zh-CN"/>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（二）贷款额度（按月缴存额测算）=缴存人及其配偶公积金月缴存额÷0.24×还款能力系数×12×可贷年限。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仿宋_GB2312" w:hAnsi="仿宋_GB2312" w:eastAsia="仿宋_GB2312" w:cs="仿宋_GB2312"/>
          <w:b/>
          <w:bCs/>
          <w:i w:val="0"/>
          <w:iCs w:val="0"/>
          <w:caps w:val="0"/>
          <w:color w:val="000000"/>
          <w:spacing w:val="0"/>
          <w:sz w:val="32"/>
          <w:szCs w:val="32"/>
          <w:u w:val="none"/>
          <w:lang w:val="en-US" w:eastAsia="zh-CN"/>
        </w:rPr>
        <w:t xml:space="preserve">第二十八条 </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选择灵活缴存方式的缴存人，贷款额度测算的确定：</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（一）贷款额度（按账户余额测算）=缴存人及其配偶住房公积金账户余额×账户余额倍数；</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（二）贷款额度（按主动缴款余额测算）=主动缴款余额÷0.24×还款能力系数×贷款申请月数÷360×n（n=实际缴存月数，同一自然月内多次缴存的计为一次）。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3"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仿宋_GB2312" w:hAnsi="仿宋_GB2312" w:eastAsia="仿宋_GB2312" w:cs="仿宋_GB2312"/>
          <w:b/>
          <w:bCs/>
          <w:i w:val="0"/>
          <w:iCs w:val="0"/>
          <w:caps w:val="0"/>
          <w:color w:val="000000"/>
          <w:spacing w:val="0"/>
          <w:sz w:val="32"/>
          <w:szCs w:val="32"/>
          <w:u w:val="none"/>
          <w:lang w:val="en-US" w:eastAsia="zh-CN"/>
        </w:rPr>
        <w:t xml:space="preserve">第二十九条 </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缴存人及其配偶的贷款额度不得超过本市规定的住房公积金贷款的最高额度。缴存人及其配偶同时存在建制单位缴存职工和灵活就业人员的，均符合贷款条件的可分别计算可贷额度后合计贷款额度，且不超过本市规定的住房公积金贷款的最高额度。</w:t>
      </w:r>
    </w:p>
    <w:p>
      <w:pPr>
        <w:pStyle w:val="5"/>
        <w:keepNext w:val="0"/>
        <w:keepLines w:val="0"/>
        <w:pageBreakBefore w:val="0"/>
        <w:widowControl/>
        <w:kinsoku/>
        <w:wordWrap/>
        <w:overflowPunct/>
        <w:topLinePunct w:val="0"/>
        <w:autoSpaceDE/>
        <w:autoSpaceDN/>
        <w:bidi w:val="0"/>
        <w:snapToGrid/>
        <w:spacing w:before="0" w:beforeAutospacing="0" w:after="0" w:afterAutospacing="0"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缴存人个人账户余额中如同时存在原建制单位在职期间的缴存资金和以灵活就业人员身份缴存资金的，账户余额可以合并计算贷款额度。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每笔公积金贷款的可贷额度根据缴存人及其配偶购买房屋价款、家庭房屋套数、首付款比例、缴存额、公积金账户余额、账户余额倍数、还款能力系数、信用状况等因素综合测算后，取最低值确定。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仿宋_GB2312" w:hAnsi="仿宋_GB2312" w:eastAsia="仿宋_GB2312" w:cs="仿宋_GB2312"/>
          <w:b/>
          <w:bCs/>
          <w:i w:val="0"/>
          <w:iCs w:val="0"/>
          <w:caps w:val="0"/>
          <w:color w:val="000000"/>
          <w:spacing w:val="0"/>
          <w:sz w:val="32"/>
          <w:szCs w:val="32"/>
          <w:u w:val="none"/>
          <w:lang w:val="en-US" w:eastAsia="zh-CN"/>
        </w:rPr>
        <w:t xml:space="preserve">第三十条 </w:t>
      </w:r>
      <w:r>
        <w:rPr>
          <w:rFonts w:hint="eastAsia" w:ascii="仿宋_GB2312" w:hAnsi="仿宋_GB2312" w:eastAsia="仿宋_GB2312" w:cs="仿宋_GB2312"/>
          <w:b w:val="0"/>
          <w:bCs w:val="0"/>
          <w:i w:val="0"/>
          <w:iCs w:val="0"/>
          <w:caps w:val="0"/>
          <w:color w:val="000000"/>
          <w:spacing w:val="0"/>
          <w:sz w:val="32"/>
          <w:szCs w:val="32"/>
          <w:u w:val="none"/>
          <w:lang w:val="en-US" w:eastAsia="zh-CN"/>
        </w:rPr>
        <w:t>借款申请人及共同申请人应提供的</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贷款申请材料：</w:t>
      </w:r>
    </w:p>
    <w:p>
      <w:pPr>
        <w:keepNext w:val="0"/>
        <w:keepLines w:val="0"/>
        <w:pageBreakBefore w:val="0"/>
        <w:widowControl/>
        <w:numPr>
          <w:ilvl w:val="0"/>
          <w:numId w:val="0"/>
        </w:numPr>
        <w:kinsoku/>
        <w:wordWrap/>
        <w:overflowPunct/>
        <w:topLinePunct w:val="0"/>
        <w:autoSpaceDE/>
        <w:autoSpaceDN/>
        <w:bidi w:val="0"/>
        <w:adjustRightInd w:val="0"/>
        <w:snapToGrid/>
        <w:spacing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（一）本人有效身份证明材料；</w:t>
      </w:r>
    </w:p>
    <w:p>
      <w:pPr>
        <w:keepNext w:val="0"/>
        <w:keepLines w:val="0"/>
        <w:pageBreakBefore w:val="0"/>
        <w:widowControl/>
        <w:numPr>
          <w:ilvl w:val="0"/>
          <w:numId w:val="0"/>
        </w:numPr>
        <w:kinsoku/>
        <w:wordWrap/>
        <w:overflowPunct/>
        <w:topLinePunct w:val="0"/>
        <w:autoSpaceDE/>
        <w:autoSpaceDN/>
        <w:bidi w:val="0"/>
        <w:adjustRightInd w:val="0"/>
        <w:snapToGrid/>
        <w:spacing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（二）户籍证明材料，包括居民户口簿、户籍证明；</w:t>
      </w:r>
    </w:p>
    <w:p>
      <w:pPr>
        <w:keepNext w:val="0"/>
        <w:keepLines w:val="0"/>
        <w:pageBreakBefore w:val="0"/>
        <w:widowControl/>
        <w:numPr>
          <w:ilvl w:val="0"/>
          <w:numId w:val="0"/>
        </w:numPr>
        <w:kinsoku/>
        <w:wordWrap/>
        <w:overflowPunct/>
        <w:topLinePunct w:val="0"/>
        <w:autoSpaceDE/>
        <w:autoSpaceDN/>
        <w:bidi w:val="0"/>
        <w:adjustRightInd w:val="0"/>
        <w:snapToGrid/>
        <w:spacing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 xml:space="preserve">（三）婚姻状况证明材料，包括结婚证、离婚证及经民政部门备案的离婚协议、法院判决离婚的生效文书等； </w:t>
      </w:r>
    </w:p>
    <w:p>
      <w:pPr>
        <w:keepNext w:val="0"/>
        <w:keepLines w:val="0"/>
        <w:pageBreakBefore w:val="0"/>
        <w:widowControl/>
        <w:kinsoku/>
        <w:wordWrap/>
        <w:overflowPunct/>
        <w:topLinePunct w:val="0"/>
        <w:autoSpaceDE/>
        <w:autoSpaceDN/>
        <w:bidi w:val="0"/>
        <w:adjustRightInd w:val="0"/>
        <w:snapToGrid/>
        <w:spacing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四）首付款证明：购买新建自住住房的，提供售房单位出具的首付款发票；购买再交易自住住房的，提供二手房交易服务平台房屋交易首款凭证或增值税发票；建造、翻建、大修自住住房的，提供借款申请人自有资金证明；</w:t>
      </w:r>
    </w:p>
    <w:p>
      <w:pPr>
        <w:keepNext w:val="0"/>
        <w:keepLines w:val="0"/>
        <w:pageBreakBefore w:val="0"/>
        <w:widowControl/>
        <w:kinsoku/>
        <w:wordWrap/>
        <w:overflowPunct/>
        <w:topLinePunct w:val="0"/>
        <w:autoSpaceDE/>
        <w:autoSpaceDN/>
        <w:bidi w:val="0"/>
        <w:adjustRightInd w:val="0"/>
        <w:snapToGrid/>
        <w:spacing w:line="640" w:lineRule="exact"/>
        <w:ind w:firstLine="640" w:firstLineChars="200"/>
        <w:jc w:val="both"/>
        <w:textAlignment w:val="auto"/>
        <w:rPr>
          <w:rFonts w:hint="default"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五）贷款用途证明：购买新建自住住房的，需提供住房城乡建设部门网签备案的《商品房买卖合同》、房屋预告登记证明；购买再交易自住住房的，需提供购房合同及原不动产权证；建造、翻建自住住房的，需提供规划、土地、建设等管理部门出具的《土地使用权证》、《建设用地规划许可证》、《建设工程规划许可证》、《建设工程施工许可证》、施工单位出具的建设工程预算书、借款人与施工单位签订的建设工程施工合同原件；大修自住住房的，需提供县级以上房地产管理部门出具的大修鉴定证明、规划部门出具的《建设工程规划许可证》、施工单位出具的建设工程预算书、借款人与施工单位签订的建设工程施工合同原件；</w:t>
      </w:r>
    </w:p>
    <w:p>
      <w:pPr>
        <w:keepNext w:val="0"/>
        <w:keepLines w:val="0"/>
        <w:pageBreakBefore w:val="0"/>
        <w:kinsoku/>
        <w:wordWrap/>
        <w:overflowPunct/>
        <w:topLinePunct w:val="0"/>
        <w:autoSpaceDE/>
        <w:autoSpaceDN/>
        <w:bidi w:val="0"/>
        <w:snapToGrid/>
        <w:spacing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（六）贷款还款账户资料，提供借款申请人在受委托银行开立的本人Ⅰ类借记卡；</w:t>
      </w:r>
    </w:p>
    <w:p>
      <w:pPr>
        <w:keepNext w:val="0"/>
        <w:keepLines w:val="0"/>
        <w:pageBreakBefore w:val="0"/>
        <w:kinsoku/>
        <w:wordWrap/>
        <w:overflowPunct/>
        <w:topLinePunct w:val="0"/>
        <w:autoSpaceDE/>
        <w:autoSpaceDN/>
        <w:bidi w:val="0"/>
        <w:snapToGrid/>
        <w:spacing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（七）借款申请人及共同申请人《个人信用报告》本人版；</w:t>
      </w:r>
    </w:p>
    <w:p>
      <w:pPr>
        <w:keepNext w:val="0"/>
        <w:keepLines w:val="0"/>
        <w:pageBreakBefore w:val="0"/>
        <w:widowControl/>
        <w:kinsoku/>
        <w:wordWrap/>
        <w:overflowPunct/>
        <w:topLinePunct w:val="0"/>
        <w:autoSpaceDE/>
        <w:autoSpaceDN/>
        <w:bidi w:val="0"/>
        <w:adjustRightInd w:val="0"/>
        <w:snapToGrid/>
        <w:spacing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（八）异地缴存人在申请公积金贷款时，可出示“业务办理电子码”或提供缴存地中心出具的《异地贷款职工住房公积金缴存使用证明》；</w:t>
      </w:r>
    </w:p>
    <w:p>
      <w:pPr>
        <w:keepNext w:val="0"/>
        <w:keepLines w:val="0"/>
        <w:pageBreakBefore w:val="0"/>
        <w:kinsoku/>
        <w:wordWrap/>
        <w:overflowPunct/>
        <w:topLinePunct w:val="0"/>
        <w:autoSpaceDE/>
        <w:autoSpaceDN/>
        <w:bidi w:val="0"/>
        <w:snapToGrid/>
        <w:spacing w:line="640" w:lineRule="exact"/>
        <w:ind w:firstLine="640"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（九）其他需要的资料。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3"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仿宋_GB2312" w:hAnsi="仿宋_GB2312" w:eastAsia="仿宋_GB2312" w:cs="仿宋_GB2312"/>
          <w:b/>
          <w:bCs/>
          <w:i w:val="0"/>
          <w:iCs w:val="0"/>
          <w:caps w:val="0"/>
          <w:color w:val="000000"/>
          <w:spacing w:val="0"/>
          <w:sz w:val="32"/>
          <w:szCs w:val="32"/>
          <w:u w:val="none"/>
        </w:rPr>
        <w:t>第</w:t>
      </w:r>
      <w:r>
        <w:rPr>
          <w:rFonts w:hint="eastAsia" w:ascii="仿宋_GB2312" w:hAnsi="仿宋_GB2312" w:eastAsia="仿宋_GB2312" w:cs="仿宋_GB2312"/>
          <w:b/>
          <w:bCs/>
          <w:i w:val="0"/>
          <w:iCs w:val="0"/>
          <w:caps w:val="0"/>
          <w:color w:val="000000"/>
          <w:spacing w:val="0"/>
          <w:sz w:val="32"/>
          <w:szCs w:val="32"/>
          <w:u w:val="none"/>
          <w:lang w:eastAsia="zh-CN"/>
        </w:rPr>
        <w:t>三十一</w:t>
      </w:r>
      <w:r>
        <w:rPr>
          <w:rFonts w:hint="eastAsia" w:ascii="仿宋_GB2312" w:hAnsi="仿宋_GB2312" w:eastAsia="仿宋_GB2312" w:cs="仿宋_GB2312"/>
          <w:b/>
          <w:bCs/>
          <w:i w:val="0"/>
          <w:iCs w:val="0"/>
          <w:caps w:val="0"/>
          <w:color w:val="000000"/>
          <w:spacing w:val="0"/>
          <w:sz w:val="32"/>
          <w:szCs w:val="32"/>
          <w:u w:val="none"/>
        </w:rPr>
        <w:t>条</w:t>
      </w:r>
      <w:r>
        <w:rPr>
          <w:rFonts w:hint="eastAsia" w:ascii="仿宋_GB2312" w:hAnsi="仿宋_GB2312" w:eastAsia="仿宋_GB2312" w:cs="仿宋_GB2312"/>
          <w:b/>
          <w:bCs/>
          <w:i w:val="0"/>
          <w:iCs w:val="0"/>
          <w:caps w:val="0"/>
          <w:color w:val="000000"/>
          <w:spacing w:val="0"/>
          <w:sz w:val="32"/>
          <w:szCs w:val="32"/>
          <w:u w:val="none"/>
          <w:lang w:val="en-US" w:eastAsia="zh-CN"/>
        </w:rPr>
        <w:t xml:space="preserve"> </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缴存人住房公积金贷款利率按照放款当日中国人民银行公布的住房公积金贷款利率标准和有关规定执行。贷款期内如遇利率变动的，按下列规定调整：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（一）贷款期限为一年期的贷款，利率不作调整；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（二）贷款期限在一年期以上且在调整日前已发放的贷款，于次年1月1日起按相应利率档次执行新的利率规定。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仿宋_GB2312" w:hAnsi="仿宋_GB2312" w:eastAsia="仿宋_GB2312" w:cs="仿宋_GB2312"/>
          <w:b/>
          <w:bCs/>
          <w:i w:val="0"/>
          <w:iCs w:val="0"/>
          <w:caps w:val="0"/>
          <w:color w:val="000000"/>
          <w:spacing w:val="0"/>
          <w:sz w:val="32"/>
          <w:szCs w:val="32"/>
          <w:u w:val="none"/>
          <w:lang w:val="en-US" w:eastAsia="zh-CN"/>
        </w:rPr>
        <w:t xml:space="preserve">第三十二条 </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缴存人办理公积金贷款应提供公积金中心认可的担保方式，须为公积金贷款设立抵押加保证的担保方式。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缴存人应为贷款所购住房设立抵押担保，抵押人和抵押权人应签订书面抵押合同，并按照规定办理抵押登记手续，同时应将住房价值全额用于抵押。在抵押期间，抵押人应妥善保管抵押物，不得擅自处分，并同时接受抵押权人的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缴存人的公积金贷款应由担保机构提供不可撤销的全程担保，承担连带保证责任，由借款申请人、公积金中心、保证人共同签订书面保证担保合同。保证担保费用由公积金中心承担。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bCs/>
          <w:i w:val="0"/>
          <w:iCs w:val="0"/>
          <w:caps w:val="0"/>
          <w:color w:val="000000"/>
          <w:spacing w:val="0"/>
          <w:kern w:val="2"/>
          <w:sz w:val="32"/>
          <w:szCs w:val="32"/>
          <w:u w:val="none"/>
          <w:lang w:val="en-US" w:eastAsia="zh-CN" w:bidi="ar-SA"/>
        </w:rPr>
        <w:t>第三十三条</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 xml:space="preserve"> 缴存人应当按借款合同约定的还款计划、还款方式偿还贷款本息，在每期还款日前将当期应还款本息金额存入委托扣款账户。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bCs/>
          <w:i w:val="0"/>
          <w:iCs w:val="0"/>
          <w:caps w:val="0"/>
          <w:color w:val="000000"/>
          <w:spacing w:val="0"/>
          <w:kern w:val="2"/>
          <w:sz w:val="32"/>
          <w:szCs w:val="32"/>
          <w:u w:val="none"/>
          <w:lang w:val="en-US" w:eastAsia="zh-CN" w:bidi="ar-SA"/>
        </w:rPr>
        <w:t>第三十四条</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 xml:space="preserve"> 缴存人在办理公积金贷款后，可与公积金中心签订《住房公积金贷款按月对冲还贷协议》，缴存额用于冲抵公积金贷款月还款额。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3"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仿宋_GB2312" w:hAnsi="仿宋_GB2312" w:eastAsia="仿宋_GB2312" w:cs="仿宋_GB2312"/>
          <w:b/>
          <w:bCs/>
          <w:i w:val="0"/>
          <w:iCs w:val="0"/>
          <w:caps w:val="0"/>
          <w:color w:val="000000"/>
          <w:spacing w:val="0"/>
          <w:sz w:val="32"/>
          <w:szCs w:val="32"/>
          <w:u w:val="none"/>
        </w:rPr>
        <w:t>第</w:t>
      </w:r>
      <w:r>
        <w:rPr>
          <w:rFonts w:hint="eastAsia" w:ascii="仿宋_GB2312" w:hAnsi="仿宋_GB2312" w:eastAsia="仿宋_GB2312" w:cs="仿宋_GB2312"/>
          <w:b/>
          <w:bCs/>
          <w:i w:val="0"/>
          <w:iCs w:val="0"/>
          <w:caps w:val="0"/>
          <w:color w:val="000000"/>
          <w:spacing w:val="0"/>
          <w:sz w:val="32"/>
          <w:szCs w:val="32"/>
          <w:u w:val="none"/>
          <w:lang w:eastAsia="zh-CN"/>
        </w:rPr>
        <w:t>三十五</w:t>
      </w:r>
      <w:r>
        <w:rPr>
          <w:rFonts w:hint="eastAsia" w:ascii="仿宋_GB2312" w:hAnsi="仿宋_GB2312" w:eastAsia="仿宋_GB2312" w:cs="仿宋_GB2312"/>
          <w:b/>
          <w:bCs/>
          <w:i w:val="0"/>
          <w:iCs w:val="0"/>
          <w:caps w:val="0"/>
          <w:color w:val="000000"/>
          <w:spacing w:val="0"/>
          <w:sz w:val="32"/>
          <w:szCs w:val="32"/>
          <w:u w:val="none"/>
        </w:rPr>
        <w:t>条</w:t>
      </w:r>
      <w:r>
        <w:rPr>
          <w:rFonts w:hint="eastAsia" w:ascii="仿宋_GB2312" w:hAnsi="仿宋_GB2312" w:eastAsia="仿宋_GB2312" w:cs="仿宋_GB2312"/>
          <w:b/>
          <w:bCs/>
          <w:i w:val="0"/>
          <w:iCs w:val="0"/>
          <w:caps w:val="0"/>
          <w:color w:val="000000"/>
          <w:spacing w:val="0"/>
          <w:sz w:val="32"/>
          <w:szCs w:val="32"/>
          <w:u w:val="none"/>
          <w:lang w:val="en-US" w:eastAsia="zh-CN"/>
        </w:rPr>
        <w:t xml:space="preserve"> </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缴存人在结清贷款前出现还款逾期，公积金中心有权依据借款合同约定追究其违约责任，因逾期还款产生的不良信用记录按照规定上报有关信用管理部门。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公积金中心有权按照借款合同约定扣划缴存人账户余额偿还逾期贷款本息。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缴存人在结清贷款前违反《缴存使用协议》约定缴存义务欠缴住房公积金1年以上（除已满法定退休年龄不再缴存），公积金中心有权采取上浮公积金贷款利率至同期LPR水平或终止借款合同等措施，追回全部公积金贷款本息。</w:t>
      </w:r>
    </w:p>
    <w:p>
      <w:pPr>
        <w:pStyle w:val="5"/>
        <w:keepNext w:val="0"/>
        <w:keepLines w:val="0"/>
        <w:pageBreakBefore w:val="0"/>
        <w:widowControl/>
        <w:kinsoku/>
        <w:wordWrap/>
        <w:overflowPunct/>
        <w:topLinePunct w:val="0"/>
        <w:autoSpaceDE/>
        <w:autoSpaceDN/>
        <w:bidi w:val="0"/>
        <w:snapToGrid/>
        <w:spacing w:before="0" w:beforeAutospacing="0" w:after="0" w:afterAutospacing="0" w:line="640" w:lineRule="exact"/>
        <w:ind w:firstLine="643" w:firstLineChars="200"/>
        <w:jc w:val="both"/>
        <w:textAlignment w:val="auto"/>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仿宋_GB2312" w:hAnsi="仿宋_GB2312" w:eastAsia="仿宋_GB2312" w:cs="仿宋_GB2312"/>
          <w:b/>
          <w:bCs/>
          <w:i w:val="0"/>
          <w:iCs w:val="0"/>
          <w:caps w:val="0"/>
          <w:color w:val="000000"/>
          <w:spacing w:val="0"/>
          <w:sz w:val="32"/>
          <w:szCs w:val="32"/>
          <w:u w:val="none"/>
          <w:lang w:eastAsia="zh-CN"/>
        </w:rPr>
        <w:t>第三十六</w:t>
      </w:r>
      <w:r>
        <w:rPr>
          <w:rFonts w:hint="eastAsia" w:ascii="仿宋_GB2312" w:hAnsi="仿宋_GB2312" w:eastAsia="仿宋_GB2312" w:cs="仿宋_GB2312"/>
          <w:b/>
          <w:bCs/>
          <w:i w:val="0"/>
          <w:iCs w:val="0"/>
          <w:caps w:val="0"/>
          <w:color w:val="000000"/>
          <w:spacing w:val="0"/>
          <w:sz w:val="32"/>
          <w:szCs w:val="32"/>
          <w:u w:val="none"/>
        </w:rPr>
        <w:t>条</w:t>
      </w:r>
      <w:r>
        <w:rPr>
          <w:rFonts w:hint="eastAsia" w:ascii="仿宋_GB2312" w:hAnsi="仿宋_GB2312" w:eastAsia="仿宋_GB2312" w:cs="仿宋_GB2312"/>
          <w:b w:val="0"/>
          <w:bCs w:val="0"/>
          <w:i w:val="0"/>
          <w:iCs w:val="0"/>
          <w:caps w:val="0"/>
          <w:color w:val="000000"/>
          <w:spacing w:val="0"/>
          <w:sz w:val="32"/>
          <w:szCs w:val="32"/>
          <w:u w:val="none"/>
        </w:rPr>
        <w:t> </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本细则中关于贷款额度、贷款期限、房屋价值认定、账户余额倍数、还款能力系数、贷款申请和审批（含组合贷款、商转公贷款、贴息贷款）、贷款发放和偿还、贷后管理等未尽事宜，参照管委会及公积金中心公布的现行住房公积金个人贷款政策及有关规定执行。</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jc w:val="center"/>
        <w:textAlignment w:val="auto"/>
        <w:outlineLvl w:val="9"/>
        <w:rPr>
          <w:rFonts w:hint="eastAsia" w:ascii="黑体" w:hAnsi="黑体" w:eastAsia="黑体" w:cs="黑体"/>
          <w:b w:val="0"/>
          <w:bCs w:val="0"/>
          <w:i w:val="0"/>
          <w:iCs w:val="0"/>
          <w:caps w:val="0"/>
          <w:color w:val="000000"/>
          <w:spacing w:val="0"/>
          <w:sz w:val="32"/>
          <w:szCs w:val="32"/>
          <w:u w:val="none"/>
          <w:lang w:val="en-US" w:eastAsia="zh-CN"/>
        </w:rPr>
      </w:pPr>
      <w:r>
        <w:rPr>
          <w:rFonts w:hint="eastAsia" w:ascii="黑体" w:hAnsi="黑体" w:eastAsia="黑体" w:cs="黑体"/>
          <w:b w:val="0"/>
          <w:bCs w:val="0"/>
          <w:i w:val="0"/>
          <w:iCs w:val="0"/>
          <w:caps w:val="0"/>
          <w:color w:val="000000"/>
          <w:spacing w:val="0"/>
          <w:sz w:val="32"/>
          <w:szCs w:val="32"/>
          <w:u w:val="none"/>
          <w:lang w:val="en-US" w:eastAsia="zh-CN"/>
        </w:rPr>
        <w:t>第五章 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3" w:firstLineChars="200"/>
        <w:jc w:val="both"/>
        <w:textAlignment w:val="auto"/>
        <w:outlineLvl w:val="9"/>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仿宋_GB2312" w:hAnsi="仿宋_GB2312" w:eastAsia="仿宋_GB2312" w:cs="仿宋_GB2312"/>
          <w:b/>
          <w:bCs/>
          <w:i w:val="0"/>
          <w:iCs w:val="0"/>
          <w:caps w:val="0"/>
          <w:color w:val="000000" w:themeColor="text1"/>
          <w:spacing w:val="0"/>
          <w:sz w:val="32"/>
          <w:szCs w:val="32"/>
          <w:u w:val="none"/>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0"/>
          <w:sz w:val="32"/>
          <w:szCs w:val="32"/>
          <w:u w:val="none"/>
          <w:lang w:val="en-US" w:eastAsia="zh-CN"/>
          <w14:textFill>
            <w14:solidFill>
              <w14:schemeClr w14:val="tx1"/>
            </w14:solidFill>
          </w14:textFill>
        </w:rPr>
        <w:t>三十七</w:t>
      </w:r>
      <w:r>
        <w:rPr>
          <w:rFonts w:hint="eastAsia" w:ascii="仿宋_GB2312" w:hAnsi="仿宋_GB2312" w:eastAsia="仿宋_GB2312" w:cs="仿宋_GB2312"/>
          <w:b/>
          <w:bCs/>
          <w:i w:val="0"/>
          <w:iCs w:val="0"/>
          <w:caps w:val="0"/>
          <w:color w:val="000000" w:themeColor="text1"/>
          <w:spacing w:val="0"/>
          <w:sz w:val="32"/>
          <w:szCs w:val="32"/>
          <w:u w:val="none"/>
          <w14:textFill>
            <w14:solidFill>
              <w14:schemeClr w14:val="tx1"/>
            </w14:solidFill>
          </w14:textFill>
        </w:rPr>
        <w:t>条</w:t>
      </w: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  </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本实施细则由公积金中心负责解释。在公积金业务办理时，公积金中心有权根据业务情况的特殊性即时对本细则予以调整或酌情执行。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3" w:firstLineChars="200"/>
        <w:jc w:val="both"/>
        <w:textAlignment w:val="auto"/>
        <w:outlineLvl w:val="9"/>
        <w:rPr>
          <w:rFonts w:hint="default" w:ascii="Times New Roman" w:hAnsi="Times New Roman" w:eastAsia="仿宋_GB2312" w:cs="仿宋_GB2312"/>
          <w:b w:val="0"/>
          <w:bCs w:val="0"/>
          <w:i w:val="0"/>
          <w:iCs w:val="0"/>
          <w:caps w:val="0"/>
          <w:color w:val="000000"/>
          <w:spacing w:val="0"/>
          <w:kern w:val="2"/>
          <w:sz w:val="32"/>
          <w:szCs w:val="32"/>
          <w:u w:val="none"/>
          <w:lang w:val="en-US" w:eastAsia="zh-CN" w:bidi="ar-SA"/>
        </w:rPr>
      </w:pPr>
      <w:r>
        <w:rPr>
          <w:rFonts w:hint="eastAsia" w:ascii="仿宋_GB2312" w:hAnsi="仿宋_GB2312" w:eastAsia="仿宋_GB2312" w:cs="仿宋_GB2312"/>
          <w:b/>
          <w:bCs/>
          <w:i w:val="0"/>
          <w:iCs w:val="0"/>
          <w:caps w:val="0"/>
          <w:color w:val="000000" w:themeColor="text1"/>
          <w:spacing w:val="0"/>
          <w:sz w:val="32"/>
          <w:szCs w:val="32"/>
          <w:u w:val="none"/>
          <w14:textFill>
            <w14:solidFill>
              <w14:schemeClr w14:val="tx1"/>
            </w14:solidFill>
          </w14:textFill>
        </w:rPr>
        <w:t>第</w:t>
      </w:r>
      <w:r>
        <w:rPr>
          <w:rFonts w:hint="eastAsia" w:ascii="仿宋_GB2312" w:hAnsi="仿宋_GB2312" w:eastAsia="仿宋_GB2312" w:cs="仿宋_GB2312"/>
          <w:b/>
          <w:bCs/>
          <w:i w:val="0"/>
          <w:iCs w:val="0"/>
          <w:caps w:val="0"/>
          <w:color w:val="000000" w:themeColor="text1"/>
          <w:spacing w:val="0"/>
          <w:sz w:val="32"/>
          <w:szCs w:val="32"/>
          <w:u w:val="none"/>
          <w:lang w:val="en-US" w:eastAsia="zh-CN"/>
          <w14:textFill>
            <w14:solidFill>
              <w14:schemeClr w14:val="tx1"/>
            </w14:solidFill>
          </w14:textFill>
        </w:rPr>
        <w:t>三十八</w:t>
      </w:r>
      <w:r>
        <w:rPr>
          <w:rFonts w:hint="eastAsia" w:ascii="仿宋_GB2312" w:hAnsi="仿宋_GB2312" w:eastAsia="仿宋_GB2312" w:cs="仿宋_GB2312"/>
          <w:b/>
          <w:bCs/>
          <w:i w:val="0"/>
          <w:iCs w:val="0"/>
          <w:caps w:val="0"/>
          <w:color w:val="000000" w:themeColor="text1"/>
          <w:spacing w:val="0"/>
          <w:sz w:val="32"/>
          <w:szCs w:val="32"/>
          <w:u w:val="none"/>
          <w14:textFill>
            <w14:solidFill>
              <w14:schemeClr w14:val="tx1"/>
            </w14:solidFill>
          </w14:textFill>
        </w:rPr>
        <w:t>条</w:t>
      </w:r>
      <w:r>
        <w:rPr>
          <w:rFonts w:hint="eastAsia" w:ascii="仿宋_GB2312" w:hAnsi="仿宋_GB2312" w:eastAsia="仿宋_GB2312" w:cs="仿宋_GB2312"/>
          <w:b w:val="0"/>
          <w:bCs w:val="0"/>
          <w:i w:val="0"/>
          <w:iCs w:val="0"/>
          <w:caps w:val="0"/>
          <w:color w:val="000000" w:themeColor="text1"/>
          <w:spacing w:val="0"/>
          <w:sz w:val="32"/>
          <w:szCs w:val="32"/>
          <w:u w:val="none"/>
          <w14:textFill>
            <w14:solidFill>
              <w14:schemeClr w14:val="tx1"/>
            </w14:solidFill>
          </w14:textFill>
        </w:rPr>
        <w:t>  </w:t>
      </w:r>
      <w:r>
        <w:rPr>
          <w:rFonts w:hint="eastAsia" w:ascii="Times New Roman" w:hAnsi="Times New Roman" w:eastAsia="仿宋_GB2312" w:cs="仿宋_GB2312"/>
          <w:b w:val="0"/>
          <w:bCs w:val="0"/>
          <w:i w:val="0"/>
          <w:iCs w:val="0"/>
          <w:caps w:val="0"/>
          <w:color w:val="000000"/>
          <w:spacing w:val="0"/>
          <w:kern w:val="2"/>
          <w:sz w:val="32"/>
          <w:szCs w:val="32"/>
          <w:u w:val="none"/>
          <w:lang w:val="en-US" w:eastAsia="zh-CN" w:bidi="ar-SA"/>
        </w:rPr>
        <w:t>本实施细则自2023年11月1日起执行，有效期3年。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7C277"/>
    <w:multiLevelType w:val="singleLevel"/>
    <w:tmpl w:val="91A7C27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MDVkZDIzNDZhMzEwN2NhZDRlNjRiYWU4OTI4NmYifQ=="/>
  </w:docVars>
  <w:rsids>
    <w:rsidRoot w:val="00000000"/>
    <w:rsid w:val="00575DEE"/>
    <w:rsid w:val="00677460"/>
    <w:rsid w:val="006E2C84"/>
    <w:rsid w:val="00794F46"/>
    <w:rsid w:val="008029D9"/>
    <w:rsid w:val="008C2C65"/>
    <w:rsid w:val="00AB1C99"/>
    <w:rsid w:val="01090B8D"/>
    <w:rsid w:val="01292C7A"/>
    <w:rsid w:val="01324754"/>
    <w:rsid w:val="016A729D"/>
    <w:rsid w:val="01C00B21"/>
    <w:rsid w:val="01C215C3"/>
    <w:rsid w:val="01F26019"/>
    <w:rsid w:val="01F6007F"/>
    <w:rsid w:val="0280530C"/>
    <w:rsid w:val="035C48F8"/>
    <w:rsid w:val="035D1BFB"/>
    <w:rsid w:val="04354DE8"/>
    <w:rsid w:val="043C4839"/>
    <w:rsid w:val="046D6FF7"/>
    <w:rsid w:val="047A5783"/>
    <w:rsid w:val="04D60951"/>
    <w:rsid w:val="04E2157A"/>
    <w:rsid w:val="05395737"/>
    <w:rsid w:val="056E1312"/>
    <w:rsid w:val="05904990"/>
    <w:rsid w:val="05CD1E44"/>
    <w:rsid w:val="060E7DF8"/>
    <w:rsid w:val="064A0CA6"/>
    <w:rsid w:val="065804B5"/>
    <w:rsid w:val="06763107"/>
    <w:rsid w:val="070F3CD2"/>
    <w:rsid w:val="07336BEB"/>
    <w:rsid w:val="073879DA"/>
    <w:rsid w:val="07CD6512"/>
    <w:rsid w:val="0822469B"/>
    <w:rsid w:val="086835E0"/>
    <w:rsid w:val="09681CC4"/>
    <w:rsid w:val="096D095D"/>
    <w:rsid w:val="09833782"/>
    <w:rsid w:val="09C31AFF"/>
    <w:rsid w:val="09E55590"/>
    <w:rsid w:val="09ED32AD"/>
    <w:rsid w:val="0A024145"/>
    <w:rsid w:val="0A3B2FEF"/>
    <w:rsid w:val="0A3F179E"/>
    <w:rsid w:val="0A9043E2"/>
    <w:rsid w:val="0AB412FB"/>
    <w:rsid w:val="0AD77425"/>
    <w:rsid w:val="0ADB5F00"/>
    <w:rsid w:val="0B411AA5"/>
    <w:rsid w:val="0B883C5E"/>
    <w:rsid w:val="0B950FB1"/>
    <w:rsid w:val="0D3270CF"/>
    <w:rsid w:val="0D5C6698"/>
    <w:rsid w:val="0D7D0597"/>
    <w:rsid w:val="0E372BC9"/>
    <w:rsid w:val="0EA93908"/>
    <w:rsid w:val="0F28722F"/>
    <w:rsid w:val="0F4C6A04"/>
    <w:rsid w:val="0FCE74A1"/>
    <w:rsid w:val="0FE5262A"/>
    <w:rsid w:val="10F61EE0"/>
    <w:rsid w:val="114561FC"/>
    <w:rsid w:val="11791D98"/>
    <w:rsid w:val="11AA25E9"/>
    <w:rsid w:val="11AE17C2"/>
    <w:rsid w:val="122F6F39"/>
    <w:rsid w:val="12753A2E"/>
    <w:rsid w:val="12C56C8E"/>
    <w:rsid w:val="12D2410F"/>
    <w:rsid w:val="1305026C"/>
    <w:rsid w:val="131C1DF7"/>
    <w:rsid w:val="13297412"/>
    <w:rsid w:val="1381290B"/>
    <w:rsid w:val="148D0206"/>
    <w:rsid w:val="14BD5762"/>
    <w:rsid w:val="150E6006"/>
    <w:rsid w:val="155D0887"/>
    <w:rsid w:val="15C40AE1"/>
    <w:rsid w:val="15E51D35"/>
    <w:rsid w:val="1628082E"/>
    <w:rsid w:val="16405B23"/>
    <w:rsid w:val="16CB4641"/>
    <w:rsid w:val="16D84061"/>
    <w:rsid w:val="16E21EBD"/>
    <w:rsid w:val="17272516"/>
    <w:rsid w:val="17587F8B"/>
    <w:rsid w:val="175B6D89"/>
    <w:rsid w:val="17AB1FFF"/>
    <w:rsid w:val="182C56C5"/>
    <w:rsid w:val="187C0B46"/>
    <w:rsid w:val="18CE0538"/>
    <w:rsid w:val="190D274F"/>
    <w:rsid w:val="19151A93"/>
    <w:rsid w:val="19812E88"/>
    <w:rsid w:val="19BF3903"/>
    <w:rsid w:val="19D93332"/>
    <w:rsid w:val="1A2A4AE2"/>
    <w:rsid w:val="1AB06D60"/>
    <w:rsid w:val="1AEC18CB"/>
    <w:rsid w:val="1B691E2B"/>
    <w:rsid w:val="1BA328B4"/>
    <w:rsid w:val="1BCA6187"/>
    <w:rsid w:val="1C5E25BE"/>
    <w:rsid w:val="1C613D77"/>
    <w:rsid w:val="1C9F6443"/>
    <w:rsid w:val="1CC230BD"/>
    <w:rsid w:val="1D420BB3"/>
    <w:rsid w:val="1DA35BF9"/>
    <w:rsid w:val="1E0F722E"/>
    <w:rsid w:val="1E214A20"/>
    <w:rsid w:val="1E8C32B1"/>
    <w:rsid w:val="1EB218B1"/>
    <w:rsid w:val="1ED01936"/>
    <w:rsid w:val="1ED466D6"/>
    <w:rsid w:val="1F0461F4"/>
    <w:rsid w:val="1F0C71AF"/>
    <w:rsid w:val="1FD223EB"/>
    <w:rsid w:val="200F0441"/>
    <w:rsid w:val="20820E42"/>
    <w:rsid w:val="20AA183F"/>
    <w:rsid w:val="21020B82"/>
    <w:rsid w:val="216B2BCB"/>
    <w:rsid w:val="21996C2F"/>
    <w:rsid w:val="219F1AC9"/>
    <w:rsid w:val="21E0098E"/>
    <w:rsid w:val="21F122C7"/>
    <w:rsid w:val="22253AF6"/>
    <w:rsid w:val="22453220"/>
    <w:rsid w:val="227B3F89"/>
    <w:rsid w:val="229E5760"/>
    <w:rsid w:val="22A76326"/>
    <w:rsid w:val="22C21DAA"/>
    <w:rsid w:val="230D3C99"/>
    <w:rsid w:val="234B593C"/>
    <w:rsid w:val="239A623B"/>
    <w:rsid w:val="23AA0F01"/>
    <w:rsid w:val="23AF3FB1"/>
    <w:rsid w:val="23B11315"/>
    <w:rsid w:val="23F35E85"/>
    <w:rsid w:val="24394FEB"/>
    <w:rsid w:val="24792885"/>
    <w:rsid w:val="255D5E48"/>
    <w:rsid w:val="25CC07DF"/>
    <w:rsid w:val="25DD4445"/>
    <w:rsid w:val="262B3FD2"/>
    <w:rsid w:val="262F6F72"/>
    <w:rsid w:val="26366557"/>
    <w:rsid w:val="266065EF"/>
    <w:rsid w:val="26E05588"/>
    <w:rsid w:val="26FC7E22"/>
    <w:rsid w:val="271A7FD5"/>
    <w:rsid w:val="275A40C4"/>
    <w:rsid w:val="275C4B1C"/>
    <w:rsid w:val="280A15DD"/>
    <w:rsid w:val="284358DD"/>
    <w:rsid w:val="286839C1"/>
    <w:rsid w:val="28DA237C"/>
    <w:rsid w:val="28E6165A"/>
    <w:rsid w:val="28E72C2A"/>
    <w:rsid w:val="298E0C57"/>
    <w:rsid w:val="29C42662"/>
    <w:rsid w:val="29E370B6"/>
    <w:rsid w:val="2A1E666A"/>
    <w:rsid w:val="2A3E61B3"/>
    <w:rsid w:val="2A620787"/>
    <w:rsid w:val="2ACF4E96"/>
    <w:rsid w:val="2AD95A4C"/>
    <w:rsid w:val="2BBF6EFE"/>
    <w:rsid w:val="2C0A4AEB"/>
    <w:rsid w:val="2C1C2B22"/>
    <w:rsid w:val="2C335C74"/>
    <w:rsid w:val="2C3B46EC"/>
    <w:rsid w:val="2C3F3A6B"/>
    <w:rsid w:val="2C557A73"/>
    <w:rsid w:val="2C8767FB"/>
    <w:rsid w:val="2CAF06C3"/>
    <w:rsid w:val="2CC52210"/>
    <w:rsid w:val="2D2C3EE3"/>
    <w:rsid w:val="2D4D7FE2"/>
    <w:rsid w:val="2D580E5F"/>
    <w:rsid w:val="2DF06932"/>
    <w:rsid w:val="2E183B00"/>
    <w:rsid w:val="2E66136F"/>
    <w:rsid w:val="2E9C4710"/>
    <w:rsid w:val="2EBC7184"/>
    <w:rsid w:val="2EE71140"/>
    <w:rsid w:val="2FEE5E1A"/>
    <w:rsid w:val="30125225"/>
    <w:rsid w:val="30EC32FF"/>
    <w:rsid w:val="30FB485B"/>
    <w:rsid w:val="310B02A3"/>
    <w:rsid w:val="317A4A3F"/>
    <w:rsid w:val="317F4561"/>
    <w:rsid w:val="31976144"/>
    <w:rsid w:val="31B1287B"/>
    <w:rsid w:val="31B853A0"/>
    <w:rsid w:val="320F2789"/>
    <w:rsid w:val="32184272"/>
    <w:rsid w:val="327D3308"/>
    <w:rsid w:val="328F6F4D"/>
    <w:rsid w:val="32B32035"/>
    <w:rsid w:val="32B9363E"/>
    <w:rsid w:val="32EE540A"/>
    <w:rsid w:val="32F07485"/>
    <w:rsid w:val="33331792"/>
    <w:rsid w:val="33753436"/>
    <w:rsid w:val="33A46E93"/>
    <w:rsid w:val="33A941DD"/>
    <w:rsid w:val="344065B5"/>
    <w:rsid w:val="34750C9B"/>
    <w:rsid w:val="348075C3"/>
    <w:rsid w:val="34D86391"/>
    <w:rsid w:val="34F76373"/>
    <w:rsid w:val="34FA74E9"/>
    <w:rsid w:val="35386DB9"/>
    <w:rsid w:val="3574351F"/>
    <w:rsid w:val="35F21167"/>
    <w:rsid w:val="36172488"/>
    <w:rsid w:val="363055DB"/>
    <w:rsid w:val="36382454"/>
    <w:rsid w:val="3650080F"/>
    <w:rsid w:val="369B3989"/>
    <w:rsid w:val="36DD2B14"/>
    <w:rsid w:val="36F75727"/>
    <w:rsid w:val="37B95D33"/>
    <w:rsid w:val="387632CE"/>
    <w:rsid w:val="38775CB7"/>
    <w:rsid w:val="38C448B4"/>
    <w:rsid w:val="392F6FBE"/>
    <w:rsid w:val="39DD18D1"/>
    <w:rsid w:val="3A2D4CFF"/>
    <w:rsid w:val="3A477E31"/>
    <w:rsid w:val="3A9656A9"/>
    <w:rsid w:val="3AB263B9"/>
    <w:rsid w:val="3B1345DD"/>
    <w:rsid w:val="3B390369"/>
    <w:rsid w:val="3B933F6A"/>
    <w:rsid w:val="3C363440"/>
    <w:rsid w:val="3C860462"/>
    <w:rsid w:val="3D0A7450"/>
    <w:rsid w:val="3D1B48EC"/>
    <w:rsid w:val="3D314871"/>
    <w:rsid w:val="3D3939F8"/>
    <w:rsid w:val="3D5870A7"/>
    <w:rsid w:val="3E5F0E51"/>
    <w:rsid w:val="3EF84512"/>
    <w:rsid w:val="3F356F0D"/>
    <w:rsid w:val="3FEE1400"/>
    <w:rsid w:val="3FF06C3A"/>
    <w:rsid w:val="40074230"/>
    <w:rsid w:val="4054013E"/>
    <w:rsid w:val="40BB1988"/>
    <w:rsid w:val="40E44166"/>
    <w:rsid w:val="40F82F1D"/>
    <w:rsid w:val="41197AF6"/>
    <w:rsid w:val="41415CF0"/>
    <w:rsid w:val="4214281A"/>
    <w:rsid w:val="422C4C13"/>
    <w:rsid w:val="4313012C"/>
    <w:rsid w:val="43574906"/>
    <w:rsid w:val="43931925"/>
    <w:rsid w:val="43FB7E7D"/>
    <w:rsid w:val="44DE3C83"/>
    <w:rsid w:val="452A343C"/>
    <w:rsid w:val="45534089"/>
    <w:rsid w:val="45BF2309"/>
    <w:rsid w:val="45CD77AA"/>
    <w:rsid w:val="46033C8F"/>
    <w:rsid w:val="46461D1B"/>
    <w:rsid w:val="466E0628"/>
    <w:rsid w:val="46CE6F53"/>
    <w:rsid w:val="46EA20BE"/>
    <w:rsid w:val="46F31C44"/>
    <w:rsid w:val="47256316"/>
    <w:rsid w:val="47366F79"/>
    <w:rsid w:val="477733E9"/>
    <w:rsid w:val="47F23594"/>
    <w:rsid w:val="48E65279"/>
    <w:rsid w:val="48F53030"/>
    <w:rsid w:val="4948744C"/>
    <w:rsid w:val="4952732B"/>
    <w:rsid w:val="4971478F"/>
    <w:rsid w:val="497F0DD2"/>
    <w:rsid w:val="49D02897"/>
    <w:rsid w:val="4A075877"/>
    <w:rsid w:val="4A1D1A4D"/>
    <w:rsid w:val="4A5E6E2C"/>
    <w:rsid w:val="4A8E5FAA"/>
    <w:rsid w:val="4AE02F84"/>
    <w:rsid w:val="4BA0655C"/>
    <w:rsid w:val="4C533AF8"/>
    <w:rsid w:val="4C742085"/>
    <w:rsid w:val="4D26669D"/>
    <w:rsid w:val="4D4625D2"/>
    <w:rsid w:val="4E172C37"/>
    <w:rsid w:val="4E3700C5"/>
    <w:rsid w:val="4ED44EF2"/>
    <w:rsid w:val="4EF43951"/>
    <w:rsid w:val="4F574EE6"/>
    <w:rsid w:val="4FC57AC5"/>
    <w:rsid w:val="4FCB63DA"/>
    <w:rsid w:val="4FE47F80"/>
    <w:rsid w:val="50C1780F"/>
    <w:rsid w:val="50F77B64"/>
    <w:rsid w:val="5172251C"/>
    <w:rsid w:val="51764DF8"/>
    <w:rsid w:val="51985692"/>
    <w:rsid w:val="51A20CBB"/>
    <w:rsid w:val="51B16A1A"/>
    <w:rsid w:val="51B26189"/>
    <w:rsid w:val="51F20971"/>
    <w:rsid w:val="521D2FC9"/>
    <w:rsid w:val="53037122"/>
    <w:rsid w:val="53446C55"/>
    <w:rsid w:val="535E7654"/>
    <w:rsid w:val="53716791"/>
    <w:rsid w:val="537C5F4B"/>
    <w:rsid w:val="53A50998"/>
    <w:rsid w:val="54295E4B"/>
    <w:rsid w:val="546E1AAF"/>
    <w:rsid w:val="551D59AF"/>
    <w:rsid w:val="558342B7"/>
    <w:rsid w:val="55C20F3C"/>
    <w:rsid w:val="5601122D"/>
    <w:rsid w:val="561E03A3"/>
    <w:rsid w:val="56390709"/>
    <w:rsid w:val="56766F67"/>
    <w:rsid w:val="56812827"/>
    <w:rsid w:val="56E92008"/>
    <w:rsid w:val="573B17A8"/>
    <w:rsid w:val="57601CD7"/>
    <w:rsid w:val="57773CCD"/>
    <w:rsid w:val="577937BB"/>
    <w:rsid w:val="58231D88"/>
    <w:rsid w:val="583B7F9B"/>
    <w:rsid w:val="58504DAB"/>
    <w:rsid w:val="58D45FB0"/>
    <w:rsid w:val="58F91EAF"/>
    <w:rsid w:val="590E7041"/>
    <w:rsid w:val="594078C3"/>
    <w:rsid w:val="59E33CE5"/>
    <w:rsid w:val="59F4471D"/>
    <w:rsid w:val="5B5874F4"/>
    <w:rsid w:val="5B8F0BBF"/>
    <w:rsid w:val="5B942CB0"/>
    <w:rsid w:val="5C2B3837"/>
    <w:rsid w:val="5C387663"/>
    <w:rsid w:val="5C4F4B86"/>
    <w:rsid w:val="5CF90F12"/>
    <w:rsid w:val="5D704AEA"/>
    <w:rsid w:val="5D710E6F"/>
    <w:rsid w:val="5D8A00A3"/>
    <w:rsid w:val="5D9A6BA5"/>
    <w:rsid w:val="5DAD111D"/>
    <w:rsid w:val="5DE2007F"/>
    <w:rsid w:val="5F6E10C2"/>
    <w:rsid w:val="5FC5111D"/>
    <w:rsid w:val="60F64E52"/>
    <w:rsid w:val="60F750C1"/>
    <w:rsid w:val="613A437F"/>
    <w:rsid w:val="617010F7"/>
    <w:rsid w:val="617913D6"/>
    <w:rsid w:val="621F40F2"/>
    <w:rsid w:val="62342A26"/>
    <w:rsid w:val="625D78AD"/>
    <w:rsid w:val="62647913"/>
    <w:rsid w:val="626E75D3"/>
    <w:rsid w:val="62875C56"/>
    <w:rsid w:val="62A14504"/>
    <w:rsid w:val="62B9573D"/>
    <w:rsid w:val="62BF1288"/>
    <w:rsid w:val="62C2090C"/>
    <w:rsid w:val="63790E50"/>
    <w:rsid w:val="63A02C2B"/>
    <w:rsid w:val="64165527"/>
    <w:rsid w:val="64275CDD"/>
    <w:rsid w:val="647B3367"/>
    <w:rsid w:val="64CC57E1"/>
    <w:rsid w:val="64CD2872"/>
    <w:rsid w:val="64E85094"/>
    <w:rsid w:val="64F01589"/>
    <w:rsid w:val="65454FA2"/>
    <w:rsid w:val="65A25E52"/>
    <w:rsid w:val="662901A6"/>
    <w:rsid w:val="673E5880"/>
    <w:rsid w:val="678C118F"/>
    <w:rsid w:val="688B36A3"/>
    <w:rsid w:val="68923B67"/>
    <w:rsid w:val="68B40980"/>
    <w:rsid w:val="68BF07E6"/>
    <w:rsid w:val="68E9276C"/>
    <w:rsid w:val="691D0F5E"/>
    <w:rsid w:val="69432CA4"/>
    <w:rsid w:val="69862B0E"/>
    <w:rsid w:val="69BB06C2"/>
    <w:rsid w:val="6A202A8C"/>
    <w:rsid w:val="6A2340BE"/>
    <w:rsid w:val="6A9924AE"/>
    <w:rsid w:val="6AB62F2F"/>
    <w:rsid w:val="6AEB1174"/>
    <w:rsid w:val="6BFC2506"/>
    <w:rsid w:val="6C1733BA"/>
    <w:rsid w:val="6C28370F"/>
    <w:rsid w:val="6C804306"/>
    <w:rsid w:val="6CA867E7"/>
    <w:rsid w:val="6CCB2FAE"/>
    <w:rsid w:val="6CD00A8F"/>
    <w:rsid w:val="6CF44878"/>
    <w:rsid w:val="6D826F75"/>
    <w:rsid w:val="6DA14525"/>
    <w:rsid w:val="6DD25D61"/>
    <w:rsid w:val="6E1F3DFC"/>
    <w:rsid w:val="6E4950C7"/>
    <w:rsid w:val="6E7453B0"/>
    <w:rsid w:val="6E8808C2"/>
    <w:rsid w:val="6E9F307A"/>
    <w:rsid w:val="6EAC0310"/>
    <w:rsid w:val="6EBB14BB"/>
    <w:rsid w:val="6F1F3DCC"/>
    <w:rsid w:val="6F664B13"/>
    <w:rsid w:val="6F933F14"/>
    <w:rsid w:val="6FB6430B"/>
    <w:rsid w:val="6FC75525"/>
    <w:rsid w:val="6FCB1C31"/>
    <w:rsid w:val="6FD10887"/>
    <w:rsid w:val="6FFF0F3F"/>
    <w:rsid w:val="701A41C0"/>
    <w:rsid w:val="703472AC"/>
    <w:rsid w:val="70E808B8"/>
    <w:rsid w:val="70F80215"/>
    <w:rsid w:val="71551D2E"/>
    <w:rsid w:val="715F1440"/>
    <w:rsid w:val="716B4399"/>
    <w:rsid w:val="71797ED3"/>
    <w:rsid w:val="71CB418D"/>
    <w:rsid w:val="71D33396"/>
    <w:rsid w:val="72CB6C89"/>
    <w:rsid w:val="73FA3CFC"/>
    <w:rsid w:val="74033B6B"/>
    <w:rsid w:val="743C50A2"/>
    <w:rsid w:val="7452064E"/>
    <w:rsid w:val="745D23DA"/>
    <w:rsid w:val="745F7E1D"/>
    <w:rsid w:val="746B5810"/>
    <w:rsid w:val="74CA3FBA"/>
    <w:rsid w:val="75391FA4"/>
    <w:rsid w:val="757E422A"/>
    <w:rsid w:val="75893930"/>
    <w:rsid w:val="759C1F0C"/>
    <w:rsid w:val="75B207DE"/>
    <w:rsid w:val="75B46B5A"/>
    <w:rsid w:val="75BB3838"/>
    <w:rsid w:val="75C56603"/>
    <w:rsid w:val="75D37C3B"/>
    <w:rsid w:val="75DE1599"/>
    <w:rsid w:val="76AC04E9"/>
    <w:rsid w:val="76CB02EF"/>
    <w:rsid w:val="76DD43A4"/>
    <w:rsid w:val="76F66BFE"/>
    <w:rsid w:val="772112D6"/>
    <w:rsid w:val="7758496E"/>
    <w:rsid w:val="775976F6"/>
    <w:rsid w:val="78516A21"/>
    <w:rsid w:val="78997B18"/>
    <w:rsid w:val="78C94F9D"/>
    <w:rsid w:val="78D32E0E"/>
    <w:rsid w:val="795A0EFA"/>
    <w:rsid w:val="79630937"/>
    <w:rsid w:val="798F5F33"/>
    <w:rsid w:val="79EF3267"/>
    <w:rsid w:val="7A130F5D"/>
    <w:rsid w:val="7A555C2D"/>
    <w:rsid w:val="7A5B78C4"/>
    <w:rsid w:val="7A9B456F"/>
    <w:rsid w:val="7AE95911"/>
    <w:rsid w:val="7B3E6F62"/>
    <w:rsid w:val="7BE236FD"/>
    <w:rsid w:val="7C0052EE"/>
    <w:rsid w:val="7C011987"/>
    <w:rsid w:val="7CAF6B79"/>
    <w:rsid w:val="7CB50FA6"/>
    <w:rsid w:val="7D630FE0"/>
    <w:rsid w:val="7DE46805"/>
    <w:rsid w:val="7E817594"/>
    <w:rsid w:val="7F0B1C24"/>
    <w:rsid w:val="7FBA3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2B2B2B"/>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2B2B2B"/>
      <w:u w:val="none"/>
    </w:rPr>
  </w:style>
  <w:style w:type="character" w:styleId="15">
    <w:name w:val="HTML Code"/>
    <w:basedOn w:val="7"/>
    <w:qFormat/>
    <w:uiPriority w:val="0"/>
    <w:rPr>
      <w:rFonts w:ascii="Courier New" w:hAnsi="Courier New"/>
      <w:sz w:val="20"/>
    </w:rPr>
  </w:style>
  <w:style w:type="character" w:styleId="16">
    <w:name w:val="HTML Cite"/>
    <w:basedOn w:val="7"/>
    <w:qFormat/>
    <w:uiPriority w:val="0"/>
  </w:style>
  <w:style w:type="character" w:customStyle="1" w:styleId="17">
    <w:name w:val="jg"/>
    <w:basedOn w:val="7"/>
    <w:qFormat/>
    <w:uiPriority w:val="0"/>
  </w:style>
  <w:style w:type="character" w:customStyle="1" w:styleId="18">
    <w:name w:val="first-child"/>
    <w:basedOn w:val="7"/>
    <w:qFormat/>
    <w:uiPriority w:val="0"/>
  </w:style>
  <w:style w:type="character" w:customStyle="1" w:styleId="19">
    <w:name w:val="layui-this"/>
    <w:basedOn w:val="7"/>
    <w:qFormat/>
    <w:uiPriority w:val="0"/>
    <w:rPr>
      <w:bdr w:val="single" w:color="EEEEEE" w:sz="4" w:space="0"/>
      <w:shd w:val="clear" w:fill="FFFFFF"/>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7246</Words>
  <Characters>7290</Characters>
  <Lines>0</Lines>
  <Paragraphs>0</Paragraphs>
  <TotalTime>83</TotalTime>
  <ScaleCrop>false</ScaleCrop>
  <LinksUpToDate>false</LinksUpToDate>
  <CharactersWithSpaces>7340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2021-06-07T01:29:00Z</dcterms:created>
  <dc:creator>Administrator</dc:creator>
  <cp:lastModifiedBy>杨慧</cp:lastModifiedBy>
  <cp:lastPrinted>2023-08-01T01:57:00Z</cp:lastPrinted>
  <dcterms:modified xsi:type="dcterms:W3CDTF">2023-10-11T01:35:53Z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6199E1AC0BCC41E7B1FBE65EE97DFB48_13</vt:lpwstr>
  </property>
</Properties>
</file>