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广西基本医疗保险“两病”认定标准</w:t>
      </w:r>
    </w:p>
    <w:bookmarkEnd w:id="0"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西基本医疗保险参保人员申请门诊特殊慢性病待遇的，按申请的门诊特殊慢性病病种提供申报材料，包括疾病证明书、近两年病史资料（含门诊病历、出入院记录）、既往手术记录、有确诊意义的检查化验结果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（其中带*号为必要材料，其余为辅助材料）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。各病种所需检查化验结果报告和诊断标准如下：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高血压病（非高危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组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.检查结果报告：非同日三次诊室血压记录。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.诊断标准：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）在未使用降压药物情况下，非同日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次诊室血压值高于正常，即诊室收缩压≥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mmHg和（或）舒张压≥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mmHg；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）目前正在服药，但既往病史中达到诊室收缩压≥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mmHg和（或）舒张压≥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mmHg条件；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）无相应器官损害表现，未达高血压病（高危组）标准。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高血压病（高危组）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.检查结果报告：非同日三次诊室血压记录。同时符合病史及检查化验条件中任何一条及诊断标准。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.病史及检查化验结果报告：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）心电图或心脏彩超检查报告提示左室肥大；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）肾功能（SCr、BUN）检查报告提示肾功能不全；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）有糖尿病史或中风病史；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）眼底检查报告提示眼底动脉硬化或狭窄；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）头颅CT或头颅MRI检查报告提示脑梗死或出血；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）胸部X线检查提示心影增大。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40"/>
        </w:rPr>
        <w:t>诊断标准：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收缩压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mmHg及以上，舒张压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mmHg及以上，至少有一次及以上门诊记录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血压达到诊断标准，并至少有以下一种靶器官损害表现：①X线、心电图或超声心动图显示左心室肥大；②眼底检查显示视网膜动脉硬化或局限性变窄；③生化检查见蛋白尿或血清肌酐轻度增高。④重要脏器心、脑、肾功能估计出现严重功能损害如冠心病、房颤、心衰、脑卒中、肾功能不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40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非同日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次诊室血压值收缩压≥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mmHg和（或）舒张压≥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mmHg,</w:t>
      </w:r>
      <w:r>
        <w:rPr>
          <w:rFonts w:hint="eastAsia" w:ascii="仿宋_GB2312" w:hAnsi="仿宋_GB2312" w:eastAsia="仿宋_GB2312" w:cs="仿宋_GB2312"/>
          <w:sz w:val="32"/>
          <w:szCs w:val="40"/>
        </w:rPr>
        <w:t>临床诊断</w:t>
      </w:r>
      <w:r>
        <w:rPr>
          <w:rFonts w:hint="eastAsia" w:ascii="Times New Roman" w:hAnsi="Times New Roman" w:eastAsia="仿宋_GB2312" w:cs="仿宋_GB2312"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级高血压，即为高血压病（高危组）。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三、糖尿病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（一）检查化验结果报告：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.两次静脉血糖检查报告:空腹、随机血糖以及糖耐量后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小时血糖；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.糖化血红蛋白。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（二）诊断标准：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.有多尿、多饮、多食、消瘦症状（如有）；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.空腹血糖大于等于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mmol/L(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mg/dl)和/或随机或糖耐量后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小时血糖值大于等于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mmol/L(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mg/dl)；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.糖化血红蛋白≥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.排除应激性高血糖症。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hjMjZkMDNmMWRiZjI0NTRhMDdkMDg3ODU1ZDgifQ=="/>
  </w:docVars>
  <w:rsids>
    <w:rsidRoot w:val="710B1D7E"/>
    <w:rsid w:val="710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lock Text"/>
    <w:basedOn w:val="1"/>
    <w:qFormat/>
    <w:uiPriority w:val="99"/>
    <w:pPr>
      <w:spacing w:line="590" w:lineRule="exact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2023-01-04T07:35:00Z</dcterms:created>
  <dc:creator>Hololo❀</dc:creator>
  <cp:lastModifiedBy>Hololo❀</cp:lastModifiedBy>
  <dcterms:modified xsi:type="dcterms:W3CDTF">2023-01-04T07:36:20Z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B6661A17695B4FD98EF1017D792D84EC</vt:lpwstr>
  </property>
</Properties>
</file>