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700" w:lineRule="exact"/>
        <w:ind w:firstLine="320" w:firstLineChars="100"/>
        <w:rPr>
          <w:rFonts w:hint="default" w:ascii="Times New Roman" w:hAnsi="Times New Roman" w:eastAsia="仿宋_GB2312" w:cs="Times New Roman"/>
          <w:b w:val="0"/>
          <w:bCs w:val="0"/>
          <w:color w:val="FF0000"/>
          <w:sz w:val="32"/>
          <w:szCs w:val="24"/>
        </w:rPr>
      </w:pPr>
    </w:p>
    <w:p>
      <w:pPr>
        <w:spacing w:line="1000" w:lineRule="exact"/>
        <w:jc w:val="center"/>
        <w:rPr>
          <w:rFonts w:hint="default" w:ascii="Times New Roman" w:hAnsi="Times New Roman" w:eastAsia="方正小标宋简体" w:cs="Times New Roman"/>
          <w:b w:val="0"/>
          <w:bCs w:val="0"/>
          <w:color w:val="FF0000"/>
          <w:spacing w:val="46"/>
          <w:sz w:val="86"/>
          <w:szCs w:val="86"/>
        </w:rPr>
      </w:pPr>
      <w:r>
        <w:rPr>
          <w:rFonts w:hint="default" w:ascii="Times New Roman" w:hAnsi="Times New Roman" w:eastAsia="方正小标宋简体" w:cs="Times New Roman"/>
          <w:b w:val="0"/>
          <w:bCs w:val="0"/>
          <w:color w:val="FF0000"/>
          <w:spacing w:val="46"/>
          <w:sz w:val="86"/>
          <w:szCs w:val="86"/>
        </w:rPr>
        <w:t>柳  州  市</w:t>
      </w:r>
    </w:p>
    <w:p>
      <w:pPr>
        <w:spacing w:line="560" w:lineRule="exact"/>
        <w:jc w:val="center"/>
        <w:rPr>
          <w:rFonts w:hint="default" w:ascii="Times New Roman" w:hAnsi="Times New Roman" w:eastAsia="方正小标宋简体" w:cs="Times New Roman"/>
          <w:b w:val="0"/>
          <w:bCs w:val="0"/>
          <w:color w:val="FF0000"/>
          <w:spacing w:val="46"/>
          <w:sz w:val="86"/>
          <w:szCs w:val="86"/>
        </w:rPr>
      </w:pPr>
    </w:p>
    <w:p>
      <w:pPr>
        <w:spacing w:line="1000" w:lineRule="exact"/>
        <w:jc w:val="center"/>
        <w:rPr>
          <w:rFonts w:hint="default" w:ascii="Times New Roman" w:hAnsi="Times New Roman" w:eastAsia="方正小标宋简体" w:cs="Times New Roman"/>
          <w:b w:val="0"/>
          <w:bCs w:val="0"/>
          <w:color w:val="FF0000"/>
          <w:spacing w:val="130"/>
          <w:sz w:val="86"/>
          <w:szCs w:val="86"/>
        </w:rPr>
      </w:pPr>
      <w:r>
        <w:rPr>
          <w:rFonts w:hint="default" w:ascii="Times New Roman" w:hAnsi="Times New Roman" w:eastAsia="方正小标宋简体" w:cs="Times New Roman"/>
          <w:b w:val="0"/>
          <w:bCs w:val="0"/>
          <w:color w:val="FF0000"/>
          <w:spacing w:val="130"/>
          <w:sz w:val="86"/>
          <w:szCs w:val="86"/>
        </w:rPr>
        <w:t>人民</w:t>
      </w:r>
      <w:bookmarkStart w:id="0" w:name="_GoBack"/>
      <w:bookmarkEnd w:id="0"/>
      <w:r>
        <w:rPr>
          <w:rFonts w:hint="default" w:ascii="Times New Roman" w:hAnsi="Times New Roman" w:eastAsia="方正小标宋简体" w:cs="Times New Roman"/>
          <w:b w:val="0"/>
          <w:bCs w:val="0"/>
          <w:color w:val="FF0000"/>
          <w:spacing w:val="130"/>
          <w:sz w:val="86"/>
          <w:szCs w:val="86"/>
        </w:rPr>
        <w:t>政府文件</w:t>
      </w:r>
    </w:p>
    <w:p>
      <w:pPr>
        <w:spacing w:line="760" w:lineRule="exact"/>
        <w:jc w:val="center"/>
        <w:rPr>
          <w:rFonts w:hint="default" w:ascii="Times New Roman" w:hAnsi="Times New Roman" w:eastAsia="仿宋_GB2312" w:cs="Times New Roman"/>
          <w:b w:val="0"/>
          <w:bCs w:val="0"/>
          <w:color w:val="000000"/>
          <w:sz w:val="32"/>
        </w:rPr>
      </w:pPr>
    </w:p>
    <w:p>
      <w:pPr>
        <w:spacing w:line="400" w:lineRule="exact"/>
        <w:jc w:val="center"/>
        <w:rPr>
          <w:rFonts w:hint="default" w:ascii="Times New Roman" w:hAnsi="Times New Roman" w:eastAsia="仿宋_GB2312" w:cs="Times New Roman"/>
          <w:b w:val="0"/>
          <w:bCs w:val="0"/>
        </w:rPr>
      </w:pPr>
      <w:r>
        <w:rPr>
          <w:rFonts w:hint="default" w:ascii="Times New Roman" w:hAnsi="Times New Roman" w:eastAsia="仿宋_GB2312" w:cs="Times New Roman"/>
          <w:b w:val="0"/>
          <w:bCs w:val="0"/>
          <w:color w:val="000000"/>
          <w:sz w:val="32"/>
        </w:rPr>
        <w:t>柳政</w:t>
      </w:r>
      <w:r>
        <w:rPr>
          <w:rFonts w:hint="default" w:ascii="Times New Roman" w:hAnsi="Times New Roman" w:eastAsia="仿宋_GB2312" w:cs="Times New Roman"/>
          <w:b w:val="0"/>
          <w:bCs w:val="0"/>
          <w:color w:val="000000"/>
          <w:sz w:val="32"/>
          <w:lang w:val="en-US" w:eastAsia="zh-CN"/>
        </w:rPr>
        <w:t>规</w:t>
      </w:r>
      <w:r>
        <w:rPr>
          <w:rFonts w:hint="default" w:ascii="Times New Roman" w:hAnsi="Times New Roman" w:eastAsia="仿宋_GB2312" w:cs="Times New Roman"/>
          <w:b w:val="0"/>
          <w:bCs w:val="0"/>
          <w:color w:val="000000"/>
          <w:sz w:val="32"/>
        </w:rPr>
        <w:t>〔202</w:t>
      </w:r>
      <w:r>
        <w:rPr>
          <w:rFonts w:hint="default" w:ascii="Times New Roman" w:hAnsi="Times New Roman" w:eastAsia="仿宋_GB2312" w:cs="Times New Roman"/>
          <w:b w:val="0"/>
          <w:bCs w:val="0"/>
          <w:color w:val="000000"/>
          <w:sz w:val="32"/>
          <w:lang w:val="en" w:eastAsia="zh-CN"/>
        </w:rPr>
        <w:t>2</w:t>
      </w:r>
      <w:r>
        <w:rPr>
          <w:rFonts w:hint="default" w:ascii="Times New Roman" w:hAnsi="Times New Roman" w:eastAsia="仿宋_GB2312" w:cs="Times New Roman"/>
          <w:b w:val="0"/>
          <w:bCs w:val="0"/>
          <w:color w:val="000000"/>
          <w:sz w:val="32"/>
        </w:rPr>
        <w:t>〕</w:t>
      </w:r>
      <w:r>
        <w:rPr>
          <w:rFonts w:hint="default" w:ascii="Times New Roman" w:hAnsi="Times New Roman" w:eastAsia="仿宋_GB2312" w:cs="Times New Roman"/>
          <w:b w:val="0"/>
          <w:bCs w:val="0"/>
          <w:color w:val="000000"/>
          <w:sz w:val="32"/>
          <w:lang w:val="en"/>
        </w:rPr>
        <w:t>5</w:t>
      </w:r>
      <w:r>
        <w:rPr>
          <w:rFonts w:hint="default" w:ascii="Times New Roman" w:hAnsi="Times New Roman" w:eastAsia="仿宋_GB2312" w:cs="Times New Roman"/>
          <w:b w:val="0"/>
          <w:bCs w:val="0"/>
          <w:color w:val="000000"/>
          <w:sz w:val="32"/>
        </w:rPr>
        <w:t>号</w:t>
      </w:r>
    </w:p>
    <w:p>
      <w:pPr>
        <w:spacing w:line="400" w:lineRule="exact"/>
        <w:jc w:val="center"/>
        <w:rPr>
          <w:rFonts w:hint="default" w:ascii="Times New Roman" w:hAnsi="Times New Roman" w:cs="Times New Roman"/>
          <w:b w:val="0"/>
          <w:bCs w:val="0"/>
        </w:rPr>
      </w:pPr>
      <w:r>
        <w:rPr>
          <w:rFonts w:hint="default" w:ascii="Times New Roman" w:hAnsi="Times New Roman" w:cs="Times New Roman"/>
          <w:b w:val="0"/>
          <w:bCs w:val="0"/>
          <w:lang w:bidi="ar-SA"/>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119380</wp:posOffset>
                </wp:positionV>
                <wp:extent cx="5715000" cy="0"/>
                <wp:effectExtent l="0" t="19050" r="0" b="19050"/>
                <wp:wrapNone/>
                <wp:docPr id="1" name="直线 40"/>
                <wp:cNvGraphicFramePr/>
                <a:graphic xmlns:a="http://schemas.openxmlformats.org/drawingml/2006/main">
                  <a:graphicData uri="http://schemas.microsoft.com/office/word/2010/wordprocessingShape">
                    <wps:wsp>
                      <wps:cNvSpPr/>
                      <wps:spPr>
                        <a:xfrm>
                          <a:off x="0" y="0"/>
                          <a:ext cx="5715000" cy="0"/>
                        </a:xfrm>
                        <a:prstGeom prst="line">
                          <a:avLst/>
                        </a:prstGeom>
                        <a:ln w="38100" cap="flat" cmpd="sng">
                          <a:solidFill>
                            <a:srgbClr val="FF0000"/>
                          </a:solidFill>
                          <a:prstDash val="solid"/>
                          <a:headEnd type="none" w="med" len="med"/>
                          <a:tailEnd type="none" w="med" len="med"/>
                        </a:ln>
                      </wps:spPr>
                      <wps:bodyPr upright="true"/>
                    </wps:wsp>
                  </a:graphicData>
                </a:graphic>
              </wp:anchor>
            </w:drawing>
          </mc:Choice>
          <mc:Fallback>
            <w:pict>
              <v:line id="直线 40" o:spid="_x0000_s1026" o:spt="20" style="position:absolute;left:0pt;margin-left:0pt;margin-top:9.4pt;height:0pt;width:450pt;z-index:251658240;mso-width-relative:page;mso-height-relative:page;" filled="f" stroked="t" coordsize="21600,21600" o:gfxdata="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H1WjdbVAAAABgEA&#10;AA8AAAAAAAAAAQAgAAAAOAAAAGRycy9kb3ducmV2LnhtbFBLAQIUABQAAAAIAIdO4kDcHKwqzgEA&#10;AJIDAAAOAAAAAAAAAAEAIAAAADoBAABkcnMvZTJvRG9jLnhtbFBLBQYAAAAABgAGAFkBAAB6BQAA&#10;AAA=&#10;">
                <v:fill on="f" focussize="0,0"/>
                <v:stroke weight="3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b w:val="0"/>
          <w:bCs w:val="0"/>
          <w:sz w:val="44"/>
          <w:szCs w:val="44"/>
          <w:lang w:eastAsia="zh-CN"/>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b w:val="0"/>
          <w:bCs w:val="0"/>
          <w:color w:val="000000"/>
          <w:sz w:val="44"/>
          <w:szCs w:val="44"/>
        </w:rPr>
      </w:pPr>
      <w:r>
        <w:rPr>
          <w:rFonts w:hint="default" w:ascii="Times New Roman" w:hAnsi="Times New Roman" w:eastAsia="方正小标宋简体" w:cs="Times New Roman"/>
          <w:b w:val="0"/>
          <w:bCs w:val="0"/>
          <w:color w:val="000000"/>
          <w:sz w:val="44"/>
          <w:szCs w:val="44"/>
        </w:rPr>
        <w:t>柳州市人民政府关于印发</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b w:val="0"/>
          <w:bCs w:val="0"/>
          <w:color w:val="000000"/>
          <w:sz w:val="44"/>
          <w:szCs w:val="44"/>
        </w:rPr>
      </w:pPr>
      <w:r>
        <w:rPr>
          <w:rFonts w:hint="default" w:ascii="Times New Roman" w:hAnsi="Times New Roman" w:eastAsia="方正小标宋简体" w:cs="Times New Roman"/>
          <w:b w:val="0"/>
          <w:bCs w:val="0"/>
          <w:color w:val="000000"/>
          <w:sz w:val="44"/>
          <w:szCs w:val="44"/>
        </w:rPr>
        <w:t>《柳州市离休人员医疗管理</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b w:val="0"/>
          <w:bCs w:val="0"/>
          <w:color w:val="000000"/>
          <w:sz w:val="44"/>
          <w:szCs w:val="44"/>
        </w:rPr>
      </w:pPr>
      <w:r>
        <w:rPr>
          <w:rFonts w:hint="default" w:ascii="Times New Roman" w:hAnsi="Times New Roman" w:eastAsia="方正小标宋简体" w:cs="Times New Roman"/>
          <w:b w:val="0"/>
          <w:bCs w:val="0"/>
          <w:color w:val="000000"/>
          <w:sz w:val="44"/>
          <w:szCs w:val="44"/>
        </w:rPr>
        <w:t>暂行办法（2022</w:t>
      </w:r>
      <w:r>
        <w:rPr>
          <w:rFonts w:hint="default" w:ascii="Times New Roman" w:hAnsi="Times New Roman" w:eastAsia="方正小标宋简体" w:cs="Times New Roman"/>
          <w:b w:val="0"/>
          <w:bCs w:val="0"/>
          <w:color w:val="000000"/>
          <w:sz w:val="44"/>
          <w:szCs w:val="44"/>
          <w:lang w:eastAsia="zh-CN"/>
        </w:rPr>
        <w:t>年修订</w:t>
      </w:r>
      <w:r>
        <w:rPr>
          <w:rFonts w:hint="default" w:ascii="Times New Roman" w:hAnsi="Times New Roman" w:eastAsia="方正小标宋简体" w:cs="Times New Roman"/>
          <w:b w:val="0"/>
          <w:bCs w:val="0"/>
          <w:color w:val="000000"/>
          <w:sz w:val="44"/>
          <w:szCs w:val="44"/>
        </w:rPr>
        <w:t>）》的通知</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b w:val="0"/>
          <w:bCs w:val="0"/>
          <w:color w:val="000000"/>
          <w:sz w:val="32"/>
          <w:szCs w:val="32"/>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各县、区人民政府，市直机关各有关委、办、局，柳东新区、阳和工业新区（北部生态新区）管委会，各有关单位：</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现将《柳州市离休人员医疗管理暂行办法（2022</w:t>
      </w:r>
      <w:r>
        <w:rPr>
          <w:rFonts w:hint="default" w:ascii="Times New Roman" w:hAnsi="Times New Roman" w:eastAsia="仿宋_GB2312" w:cs="Times New Roman"/>
          <w:b w:val="0"/>
          <w:bCs w:val="0"/>
          <w:color w:val="000000"/>
          <w:sz w:val="32"/>
          <w:szCs w:val="32"/>
          <w:lang w:eastAsia="zh-CN"/>
        </w:rPr>
        <w:t>年修订</w:t>
      </w:r>
      <w:r>
        <w:rPr>
          <w:rFonts w:hint="default" w:ascii="Times New Roman" w:hAnsi="Times New Roman" w:eastAsia="仿宋_GB2312" w:cs="Times New Roman"/>
          <w:b w:val="0"/>
          <w:bCs w:val="0"/>
          <w:color w:val="000000"/>
          <w:sz w:val="32"/>
          <w:szCs w:val="32"/>
        </w:rPr>
        <w:t>）》印发给你们，请认真贯彻执行。</w:t>
      </w:r>
    </w:p>
    <w:p>
      <w:pPr>
        <w:keepNext w:val="0"/>
        <w:keepLines w:val="0"/>
        <w:pageBreakBefore w:val="0"/>
        <w:widowControl w:val="0"/>
        <w:tabs>
          <w:tab w:val="left" w:pos="7797"/>
        </w:tabs>
        <w:kinsoku/>
        <w:wordWrap/>
        <w:overflowPunct/>
        <w:topLinePunct w:val="0"/>
        <w:autoSpaceDE/>
        <w:autoSpaceDN/>
        <w:bidi w:val="0"/>
        <w:adjustRightInd/>
        <w:snapToGrid/>
        <w:spacing w:line="560" w:lineRule="exact"/>
        <w:ind w:left="5462" w:leftChars="2583" w:hanging="38" w:hangingChars="12"/>
        <w:textAlignment w:val="auto"/>
        <w:outlineLvl w:val="9"/>
        <w:rPr>
          <w:rFonts w:hint="default" w:ascii="Times New Roman" w:hAnsi="Times New Roman" w:eastAsia="仿宋_GB2312" w:cs="Times New Roman"/>
          <w:b w:val="0"/>
          <w:bCs w:val="0"/>
          <w:sz w:val="32"/>
          <w:szCs w:val="32"/>
        </w:rPr>
      </w:pPr>
    </w:p>
    <w:p>
      <w:pPr>
        <w:keepNext w:val="0"/>
        <w:keepLines w:val="0"/>
        <w:pageBreakBefore w:val="0"/>
        <w:widowControl w:val="0"/>
        <w:tabs>
          <w:tab w:val="left" w:pos="7797"/>
        </w:tabs>
        <w:kinsoku/>
        <w:wordWrap/>
        <w:overflowPunct/>
        <w:topLinePunct w:val="0"/>
        <w:autoSpaceDE/>
        <w:autoSpaceDN/>
        <w:bidi w:val="0"/>
        <w:adjustRightInd/>
        <w:snapToGrid/>
        <w:spacing w:line="560" w:lineRule="exact"/>
        <w:ind w:firstLine="4800" w:firstLineChars="15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柳州市人民政府</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b w:val="0"/>
          <w:bCs w:val="0"/>
          <w:color w:val="000000"/>
          <w:kern w:val="0"/>
          <w:sz w:val="32"/>
          <w:szCs w:val="32"/>
          <w:lang w:bidi="ar"/>
        </w:rPr>
      </w:pPr>
      <w:r>
        <w:rPr>
          <w:rFonts w:hint="default" w:ascii="Times New Roman" w:hAnsi="Times New Roman" w:eastAsia="仿宋_GB2312" w:cs="Times New Roman"/>
          <w:b w:val="0"/>
          <w:bCs w:val="0"/>
          <w:sz w:val="32"/>
          <w:szCs w:val="32"/>
        </w:rPr>
        <w:t xml:space="preserve">                       </w:t>
      </w:r>
      <w:r>
        <w:rPr>
          <w:rFonts w:hint="default" w:ascii="Times New Roman" w:hAnsi="Times New Roman" w:eastAsia="仿宋_GB2312" w:cs="Times New Roman"/>
          <w:b w:val="0"/>
          <w:bCs w:val="0"/>
          <w:sz w:val="32"/>
          <w:szCs w:val="32"/>
          <w:lang w:val="en-US" w:eastAsia="zh-CN"/>
        </w:rPr>
        <w:t xml:space="preserve">  202</w:t>
      </w:r>
      <w:r>
        <w:rPr>
          <w:rFonts w:hint="default" w:ascii="Times New Roman" w:hAnsi="Times New Roman" w:eastAsia="仿宋_GB2312" w:cs="Times New Roman"/>
          <w:b w:val="0"/>
          <w:bCs w:val="0"/>
          <w:sz w:val="32"/>
          <w:szCs w:val="32"/>
          <w:lang w:val="en" w:eastAsia="zh-CN"/>
        </w:rPr>
        <w:t>2</w:t>
      </w:r>
      <w:r>
        <w:rPr>
          <w:rFonts w:hint="default" w:ascii="Times New Roman" w:hAnsi="Times New Roman" w:eastAsia="仿宋_GB2312" w:cs="Times New Roman"/>
          <w:b w:val="0"/>
          <w:bCs w:val="0"/>
          <w:sz w:val="32"/>
          <w:szCs w:val="32"/>
        </w:rPr>
        <w:t>年</w:t>
      </w: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月</w:t>
      </w:r>
      <w:r>
        <w:rPr>
          <w:rFonts w:hint="default" w:ascii="Times New Roman" w:hAnsi="Times New Roman" w:eastAsia="仿宋_GB2312" w:cs="Times New Roman"/>
          <w:b w:val="0"/>
          <w:bCs w:val="0"/>
          <w:sz w:val="32"/>
          <w:szCs w:val="32"/>
          <w:lang w:val="en"/>
        </w:rPr>
        <w:t>20</w:t>
      </w:r>
      <w:r>
        <w:rPr>
          <w:rFonts w:hint="default" w:ascii="Times New Roman" w:hAnsi="Times New Roman" w:eastAsia="仿宋_GB2312" w:cs="Times New Roman"/>
          <w:b w:val="0"/>
          <w:bCs w:val="0"/>
          <w:sz w:val="32"/>
          <w:szCs w:val="32"/>
        </w:rPr>
        <w:t>日</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kern w:val="0"/>
          <w:sz w:val="44"/>
          <w:szCs w:val="44"/>
        </w:rPr>
      </w:pPr>
      <w:r>
        <w:rPr>
          <w:rFonts w:hint="default" w:ascii="Times New Roman" w:hAnsi="Times New Roman" w:eastAsia="方正小标宋简体" w:cs="Times New Roman"/>
          <w:b w:val="0"/>
          <w:bCs w:val="0"/>
          <w:kern w:val="0"/>
          <w:sz w:val="44"/>
          <w:szCs w:val="44"/>
        </w:rPr>
        <w:t>柳州市离休人员医疗管理暂行办法</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kern w:val="0"/>
          <w:sz w:val="32"/>
          <w:szCs w:val="32"/>
        </w:rPr>
      </w:pPr>
      <w:r>
        <w:rPr>
          <w:rFonts w:hint="default" w:ascii="Times New Roman" w:hAnsi="Times New Roman" w:eastAsia="方正小标宋简体" w:cs="Times New Roman"/>
          <w:b w:val="0"/>
          <w:bCs w:val="0"/>
          <w:kern w:val="0"/>
          <w:sz w:val="32"/>
          <w:szCs w:val="32"/>
        </w:rPr>
        <w:t>（2022</w:t>
      </w:r>
      <w:r>
        <w:rPr>
          <w:rFonts w:hint="default" w:ascii="Times New Roman" w:hAnsi="Times New Roman" w:eastAsia="方正小标宋简体" w:cs="Times New Roman"/>
          <w:b w:val="0"/>
          <w:bCs w:val="0"/>
          <w:kern w:val="0"/>
          <w:sz w:val="32"/>
          <w:szCs w:val="32"/>
          <w:lang w:eastAsia="zh-CN"/>
        </w:rPr>
        <w:t>年修订</w:t>
      </w:r>
      <w:r>
        <w:rPr>
          <w:rFonts w:hint="default" w:ascii="Times New Roman" w:hAnsi="Times New Roman" w:eastAsia="方正小标宋简体" w:cs="Times New Roman"/>
          <w:b w:val="0"/>
          <w:bCs w:val="0"/>
          <w:kern w:val="0"/>
          <w:sz w:val="32"/>
          <w:szCs w:val="32"/>
        </w:rPr>
        <w:t>）</w:t>
      </w:r>
    </w:p>
    <w:p>
      <w:pPr>
        <w:pStyle w:val="39"/>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黑体" w:cs="Times New Roman"/>
          <w:b w:val="0"/>
          <w:bCs w:val="0"/>
          <w:color w:val="000000"/>
          <w:kern w:val="2"/>
          <w:sz w:val="32"/>
          <w:szCs w:val="32"/>
        </w:rPr>
      </w:pPr>
    </w:p>
    <w:p>
      <w:pPr>
        <w:pStyle w:val="39"/>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黑体" w:cs="Times New Roman"/>
          <w:b w:val="0"/>
          <w:bCs w:val="0"/>
          <w:color w:val="000000"/>
          <w:kern w:val="2"/>
          <w:sz w:val="32"/>
          <w:szCs w:val="32"/>
        </w:rPr>
      </w:pPr>
      <w:r>
        <w:rPr>
          <w:rFonts w:hint="default" w:ascii="Times New Roman" w:hAnsi="Times New Roman" w:eastAsia="黑体" w:cs="Times New Roman"/>
          <w:b w:val="0"/>
          <w:bCs w:val="0"/>
          <w:color w:val="000000"/>
          <w:kern w:val="2"/>
          <w:sz w:val="32"/>
          <w:szCs w:val="32"/>
        </w:rPr>
        <w:t>第一章  总  则</w:t>
      </w:r>
    </w:p>
    <w:p>
      <w:pPr>
        <w:pStyle w:val="39"/>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黑体" w:cs="Times New Roman"/>
          <w:b w:val="0"/>
          <w:bCs w:val="0"/>
          <w:color w:val="000000"/>
          <w:kern w:val="2"/>
          <w:sz w:val="32"/>
          <w:szCs w:val="32"/>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第一条</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为保障离休人员享受医疗待遇，根据《国务院关于建立城镇职工基本医疗保险制度的决定》（国发〔1998〕44号）、《关于印发&lt;一至六级残疾军人医疗保障办法&gt;的通知》（民发〔2005）199 号）</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shd w:val="clear" w:color="auto" w:fill="FFFFFF"/>
        </w:rPr>
        <w:t>《广西壮族自治区一至六级残疾军人医疗保障实施办法》（桂民发〔2007〕59 号）、《柳州市人民政府办公室关于印发柳州市优抚对象医疗保障办法的通知》（柳政办〔2009〕185 号）</w:t>
      </w:r>
      <w:r>
        <w:rPr>
          <w:rFonts w:hint="default" w:ascii="Times New Roman" w:hAnsi="Times New Roman" w:eastAsia="仿宋_GB2312" w:cs="Times New Roman"/>
          <w:b w:val="0"/>
          <w:bCs w:val="0"/>
          <w:sz w:val="32"/>
          <w:szCs w:val="32"/>
        </w:rPr>
        <w:t>等文件精神以及国家、自治区有关规定，结合我市实际，制定本办法。</w:t>
      </w:r>
    </w:p>
    <w:p>
      <w:pPr>
        <w:pStyle w:val="6"/>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第二条  本办法适用于柳州市行政辖区内所有企业、机关、事业单位、社会团体和民办非企业单位（以下简称用人单位）所属离休人员。2010年以前已纳入医疗费用统一管理的一至六级残疾军人，适用本办法。</w:t>
      </w:r>
      <w:r>
        <w:rPr>
          <w:rFonts w:hint="default" w:ascii="Times New Roman" w:hAnsi="Times New Roman" w:eastAsia="仿宋_GB2312" w:cs="Times New Roman"/>
          <w:b w:val="0"/>
          <w:bCs w:val="0"/>
          <w:sz w:val="32"/>
          <w:szCs w:val="32"/>
          <w:lang w:eastAsia="zh-CN"/>
        </w:rPr>
        <w:t>上述两类人员，</w:t>
      </w:r>
      <w:r>
        <w:rPr>
          <w:rFonts w:hint="default" w:ascii="Times New Roman" w:hAnsi="Times New Roman" w:eastAsia="仿宋_GB2312" w:cs="Times New Roman"/>
          <w:b w:val="0"/>
          <w:bCs w:val="0"/>
          <w:sz w:val="32"/>
          <w:szCs w:val="32"/>
        </w:rPr>
        <w:t>以下称特殊人员</w:t>
      </w:r>
      <w:r>
        <w:rPr>
          <w:rFonts w:hint="default" w:ascii="Times New Roman" w:hAnsi="Times New Roman" w:eastAsia="仿宋_GB2312" w:cs="Times New Roman"/>
          <w:b w:val="0"/>
          <w:bCs w:val="0"/>
          <w:sz w:val="32"/>
          <w:szCs w:val="32"/>
          <w:lang w:eastAsia="zh-CN"/>
        </w:rPr>
        <w:t>。</w:t>
      </w:r>
    </w:p>
    <w:p>
      <w:pPr>
        <w:pStyle w:val="6"/>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第三条  特殊人员医疗经费实行统一管理，管理部门为柳州市医疗保障行政部门。市、县区医疗保障经办机构负责具体经办工作。</w:t>
      </w:r>
    </w:p>
    <w:p>
      <w:pPr>
        <w:pStyle w:val="6"/>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b w:val="0"/>
          <w:bCs w:val="0"/>
          <w:sz w:val="32"/>
          <w:szCs w:val="32"/>
        </w:rPr>
      </w:pPr>
    </w:p>
    <w:p>
      <w:pPr>
        <w:pStyle w:val="3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黑体" w:cs="Times New Roman"/>
          <w:b w:val="0"/>
          <w:bCs w:val="0"/>
          <w:color w:val="000000"/>
          <w:kern w:val="2"/>
          <w:sz w:val="32"/>
          <w:szCs w:val="32"/>
        </w:rPr>
      </w:pPr>
      <w:r>
        <w:rPr>
          <w:rFonts w:hint="default" w:ascii="Times New Roman" w:hAnsi="Times New Roman" w:eastAsia="黑体" w:cs="Times New Roman"/>
          <w:b w:val="0"/>
          <w:bCs w:val="0"/>
          <w:color w:val="000000"/>
          <w:kern w:val="2"/>
          <w:sz w:val="32"/>
          <w:szCs w:val="32"/>
        </w:rPr>
        <w:t>第二章  资金筹集及管理</w:t>
      </w:r>
    </w:p>
    <w:p>
      <w:pPr>
        <w:pStyle w:val="3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黑体" w:cs="Times New Roman"/>
          <w:b w:val="0"/>
          <w:bCs w:val="0"/>
          <w:color w:val="000000"/>
          <w:kern w:val="2"/>
          <w:sz w:val="32"/>
          <w:szCs w:val="32"/>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第四条  特殊人员医疗经费缴纳标准由市医疗保障行政部门根据上年度全市特殊人员平均医疗费用及前三年特殊人员平均医疗费用增长率进行测算核定，由特殊人员所在单位于每年12月25日前一次性缴纳下一年度全年医疗经费。特殊人员医疗经费单独列账管理，专款专用。</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第五条  属于财政全额补助和部分补助的行政事业单位特殊人员的医疗经费，由当地财政纳入预算后划拨到所在单位，再由单位按标准缴纳。</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第六条  不属财政补助或原属财政补助现已整体转为不属财政补助的企、事业单位特殊人员的医疗经费，由所在单位按标准缴纳。</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第七条  企业在进行租赁、承包、合资、兼并、联合、股份制、股份合作制或个人及集团收购等形式改制时，企业特殊人员的医疗经费，要纳入合同条款，明确责任，承担特殊人员的医疗费，并按标准及时缴纳。</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第八条  破产、停产、倒闭、严重亏损企业特殊人员的医疗经费，由管理单位用出让土地使用权所得或从企业拍卖资产所得，预留原企业特殊人员的医疗经费，按标准逐年缴纳。如资产变现不足以支付或变现不了的，由同级财政解决。</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第九条  单位缴纳特殊人员医疗经费确实有困难的，由单位提出申请，经主管部门和同级财政局审核，由同级财政解决。</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第十条  特殊人员医疗经费划分为个人账户和统筹医疗费两部分：</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个人账户全年资金配额：享受副省（部）长级及以上医疗待遇的离休人员4000元；享受厅级政治生活待遇的离休人员、政治级别为厅级（含副厅）的一至六级残疾军人3500元；抗日战争时期参加革命的离休人员、享受厅级医疗待遇的离休人员3000元；解放战争时期参加革命的离休人员2500元；一至四级残疾军人2500元；五、六级残疾军人2000元。</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统筹医疗费：个人账户配置后资金余额划入特殊人员统筹医疗费，统一管理和使用。</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第十一条  个人账户用于支付门诊和住院医疗费用。个人账户不足时，由统筹医疗费支付。个人账户如有节余，节余资金的80%发放给本人，20%转入次年其个人账户。参加医疗经费统一管理的时间不满一年的，当年的个人账户节余转入次年个人账户，不发放给本人。</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特殊人员死亡后，如个人账户有节余的，由其继承人结清，如无继承人，全部转入统筹医疗费。</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第十二条  统筹医疗费每年度结算一次，如有结余，转入次年统筹医疗费中使用。如出现超支，则超支部分由用人单位按规定补缴。</w:t>
      </w:r>
    </w:p>
    <w:p>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第十三条  已按规定缴纳的特殊人员医疗经费不予退还。</w:t>
      </w:r>
    </w:p>
    <w:p>
      <w:pPr>
        <w:pStyle w:val="3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黑体" w:cs="Times New Roman"/>
          <w:b w:val="0"/>
          <w:bCs w:val="0"/>
          <w:color w:val="000000"/>
          <w:kern w:val="2"/>
          <w:sz w:val="32"/>
          <w:szCs w:val="32"/>
        </w:rPr>
      </w:pPr>
    </w:p>
    <w:p>
      <w:pPr>
        <w:pStyle w:val="3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黑体" w:cs="Times New Roman"/>
          <w:b w:val="0"/>
          <w:bCs w:val="0"/>
          <w:color w:val="000000"/>
          <w:kern w:val="2"/>
          <w:sz w:val="32"/>
          <w:szCs w:val="32"/>
        </w:rPr>
      </w:pPr>
    </w:p>
    <w:p>
      <w:pPr>
        <w:pStyle w:val="3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黑体" w:cs="Times New Roman"/>
          <w:b w:val="0"/>
          <w:bCs w:val="0"/>
          <w:color w:val="000000"/>
          <w:kern w:val="2"/>
          <w:sz w:val="32"/>
          <w:szCs w:val="32"/>
        </w:rPr>
      </w:pPr>
      <w:r>
        <w:rPr>
          <w:rFonts w:hint="default" w:ascii="Times New Roman" w:hAnsi="Times New Roman" w:eastAsia="黑体" w:cs="Times New Roman"/>
          <w:b w:val="0"/>
          <w:bCs w:val="0"/>
          <w:color w:val="000000"/>
          <w:kern w:val="2"/>
          <w:sz w:val="32"/>
          <w:szCs w:val="32"/>
        </w:rPr>
        <w:t>第三章  医疗待遇和医疗管理</w:t>
      </w:r>
    </w:p>
    <w:p>
      <w:pPr>
        <w:pStyle w:val="3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黑体" w:cs="Times New Roman"/>
          <w:b w:val="0"/>
          <w:bCs w:val="0"/>
          <w:color w:val="000000"/>
          <w:kern w:val="2"/>
          <w:sz w:val="32"/>
          <w:szCs w:val="32"/>
        </w:rPr>
      </w:pPr>
    </w:p>
    <w:p>
      <w:pPr>
        <w:pStyle w:val="6"/>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第十四条  特殊人员以方便就医为原则，可选择市行政辖区内定点医疗机构、定点药店，凭《医疗证》、社会保障卡或医保电子凭证就医。</w:t>
      </w:r>
    </w:p>
    <w:p>
      <w:pPr>
        <w:pStyle w:val="6"/>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第十五条  特殊人员医疗费用支付办法</w:t>
      </w:r>
    </w:p>
    <w:p>
      <w:pPr>
        <w:pStyle w:val="6"/>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（一）凡是符合基本医疗保险范围和标准的医疗费用，全部直接从社会保障卡或医保电子凭证上划账，首先由个人账户支付；个人账户用完后，由统筹医疗费支付。</w:t>
      </w:r>
    </w:p>
    <w:p>
      <w:pPr>
        <w:pStyle w:val="6"/>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二）凡是超出基本医疗保险范围属自费的医疗费（不包括：①非治疗性的项目；②除肾脏、心脏瓣膜、角膜、皮肤、血管、骨、骨髓移植之外的其他器官或组织移植手术；③各类器官或组织移植的组织源或器官源），根据不同情况，按以下办法报销：</w:t>
      </w:r>
    </w:p>
    <w:p>
      <w:pPr>
        <w:pStyle w:val="6"/>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
        </w:rPr>
        <w:t xml:space="preserve"> </w:t>
      </w:r>
      <w:r>
        <w:rPr>
          <w:rFonts w:hint="default" w:ascii="Times New Roman" w:hAnsi="Times New Roman" w:eastAsia="仿宋_GB2312" w:cs="Times New Roman"/>
          <w:b w:val="0"/>
          <w:bCs w:val="0"/>
          <w:sz w:val="32"/>
          <w:szCs w:val="32"/>
        </w:rPr>
        <w:t>日常门诊或住院治疗时使用的超出基本医疗保险范围属自费的医疗费用，符合诊治要求的按比例给予报销。</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97"/>
        <w:gridCol w:w="2453"/>
        <w:gridCol w:w="2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7" w:type="dxa"/>
            <w:noWrap w:val="0"/>
            <w:vAlign w:val="center"/>
          </w:tcPr>
          <w:p>
            <w:pPr>
              <w:pStyle w:val="6"/>
              <w:keepNext w:val="0"/>
              <w:keepLines w:val="0"/>
              <w:pageBreakBefore w:val="0"/>
              <w:kinsoku/>
              <w:wordWrap/>
              <w:overflowPunct/>
              <w:topLinePunct w:val="0"/>
              <w:autoSpaceDE/>
              <w:autoSpaceDN/>
              <w:bidi w:val="0"/>
              <w:spacing w:before="0" w:beforeAutospacing="0" w:after="0" w:afterAutospacing="0" w:line="560" w:lineRule="exact"/>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人员类别</w:t>
            </w:r>
          </w:p>
        </w:tc>
        <w:tc>
          <w:tcPr>
            <w:tcW w:w="2453" w:type="dxa"/>
            <w:noWrap w:val="0"/>
            <w:vAlign w:val="center"/>
          </w:tcPr>
          <w:p>
            <w:pPr>
              <w:pStyle w:val="6"/>
              <w:keepNext w:val="0"/>
              <w:keepLines w:val="0"/>
              <w:pageBreakBefore w:val="0"/>
              <w:kinsoku/>
              <w:wordWrap/>
              <w:overflowPunct/>
              <w:topLinePunct w:val="0"/>
              <w:autoSpaceDE/>
              <w:autoSpaceDN/>
              <w:bidi w:val="0"/>
              <w:spacing w:before="0" w:beforeAutospacing="0" w:after="0" w:afterAutospacing="0" w:line="560" w:lineRule="exact"/>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报销比例（%）</w:t>
            </w:r>
          </w:p>
        </w:tc>
        <w:tc>
          <w:tcPr>
            <w:tcW w:w="2811" w:type="dxa"/>
            <w:noWrap w:val="0"/>
            <w:vAlign w:val="center"/>
          </w:tcPr>
          <w:p>
            <w:pPr>
              <w:pStyle w:val="6"/>
              <w:keepNext w:val="0"/>
              <w:keepLines w:val="0"/>
              <w:pageBreakBefore w:val="0"/>
              <w:kinsoku/>
              <w:wordWrap/>
              <w:overflowPunct/>
              <w:topLinePunct w:val="0"/>
              <w:autoSpaceDE/>
              <w:autoSpaceDN/>
              <w:bidi w:val="0"/>
              <w:spacing w:before="0" w:beforeAutospacing="0" w:after="0" w:afterAutospacing="0" w:line="560" w:lineRule="exact"/>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个人支付比例（%）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7" w:type="dxa"/>
            <w:noWrap w:val="0"/>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both"/>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抗日战争时期参加革命的离休人员、享受厅级及厅级以上政治生活待遇的离休人员、享受厅级</w:t>
            </w:r>
            <w:r>
              <w:rPr>
                <w:rFonts w:hint="default" w:ascii="Times New Roman" w:hAnsi="Times New Roman" w:eastAsia="仿宋_GB2312" w:cs="Times New Roman"/>
                <w:b w:val="0"/>
                <w:bCs w:val="0"/>
                <w:sz w:val="24"/>
                <w:szCs w:val="24"/>
                <w:lang w:val="en-US" w:eastAsia="zh-CN"/>
              </w:rPr>
              <w:t>及厅级以上</w:t>
            </w:r>
            <w:r>
              <w:rPr>
                <w:rFonts w:hint="default" w:ascii="Times New Roman" w:hAnsi="Times New Roman" w:eastAsia="仿宋_GB2312" w:cs="Times New Roman"/>
                <w:b w:val="0"/>
                <w:bCs w:val="0"/>
                <w:sz w:val="24"/>
                <w:szCs w:val="24"/>
              </w:rPr>
              <w:t>医疗待遇的离休人员、政治级别为厅级（含</w:t>
            </w:r>
            <w:r>
              <w:rPr>
                <w:rFonts w:hint="default" w:ascii="Times New Roman" w:hAnsi="Times New Roman" w:eastAsia="仿宋_GB2312" w:cs="Times New Roman"/>
                <w:b w:val="0"/>
                <w:bCs w:val="0"/>
                <w:spacing w:val="-6"/>
                <w:sz w:val="24"/>
                <w:szCs w:val="24"/>
              </w:rPr>
              <w:t>副厅）的一至六级残疾军人</w:t>
            </w:r>
          </w:p>
        </w:tc>
        <w:tc>
          <w:tcPr>
            <w:tcW w:w="2453" w:type="dxa"/>
            <w:noWrap w:val="0"/>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100</w:t>
            </w:r>
          </w:p>
        </w:tc>
        <w:tc>
          <w:tcPr>
            <w:tcW w:w="2811" w:type="dxa"/>
            <w:noWrap w:val="0"/>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7" w:type="dxa"/>
            <w:noWrap w:val="0"/>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both"/>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解放战争时期参加革命的离休人员及一至四级残疾军人</w:t>
            </w:r>
          </w:p>
        </w:tc>
        <w:tc>
          <w:tcPr>
            <w:tcW w:w="2453" w:type="dxa"/>
            <w:noWrap w:val="0"/>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80</w:t>
            </w:r>
          </w:p>
        </w:tc>
        <w:tc>
          <w:tcPr>
            <w:tcW w:w="2811" w:type="dxa"/>
            <w:noWrap w:val="0"/>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7" w:type="dxa"/>
            <w:noWrap w:val="0"/>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both"/>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五、六级残疾军人</w:t>
            </w:r>
          </w:p>
        </w:tc>
        <w:tc>
          <w:tcPr>
            <w:tcW w:w="2453" w:type="dxa"/>
            <w:noWrap w:val="0"/>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50</w:t>
            </w:r>
          </w:p>
        </w:tc>
        <w:tc>
          <w:tcPr>
            <w:tcW w:w="2811" w:type="dxa"/>
            <w:noWrap w:val="0"/>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50</w:t>
            </w:r>
          </w:p>
        </w:tc>
      </w:tr>
    </w:tbl>
    <w:p>
      <w:pPr>
        <w:pStyle w:val="6"/>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2．一至六级残疾军人旧伤复发进行治疗时，超出基本医疗保险范围属自费的医疗费全部给予报销。</w:t>
      </w:r>
    </w:p>
    <w:p>
      <w:pPr>
        <w:pStyle w:val="6"/>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val="0"/>
          <w:color w:val="FF0000"/>
          <w:sz w:val="32"/>
          <w:szCs w:val="32"/>
        </w:rPr>
      </w:pPr>
      <w:r>
        <w:rPr>
          <w:rFonts w:hint="default" w:ascii="Times New Roman" w:hAnsi="Times New Roman" w:eastAsia="仿宋_GB2312" w:cs="Times New Roman"/>
          <w:b w:val="0"/>
          <w:bCs w:val="0"/>
          <w:sz w:val="32"/>
          <w:szCs w:val="32"/>
        </w:rPr>
        <w:t>3. 因病抢救时使用的超出基本医</w:t>
      </w:r>
      <w:r>
        <w:rPr>
          <w:rFonts w:hint="default" w:ascii="Times New Roman" w:hAnsi="Times New Roman" w:eastAsia="仿宋_GB2312" w:cs="Times New Roman"/>
          <w:b w:val="0"/>
          <w:bCs w:val="0"/>
          <w:color w:val="000000"/>
          <w:sz w:val="32"/>
          <w:szCs w:val="32"/>
        </w:rPr>
        <w:t>疗保险范围属自费的医疗费用，符合诊治要求的全部给予报销；院前急救的救护车费，按照急诊抢救时的自费医疗费支付标</w:t>
      </w:r>
      <w:r>
        <w:rPr>
          <w:rFonts w:hint="default" w:ascii="Times New Roman" w:hAnsi="Times New Roman" w:eastAsia="仿宋_GB2312" w:cs="Times New Roman"/>
          <w:b w:val="0"/>
          <w:bCs w:val="0"/>
          <w:sz w:val="32"/>
          <w:szCs w:val="32"/>
        </w:rPr>
        <w:t>准全部给予报销。报销费用首先由个人账户支付；个人账户用完后，由统筹医疗费支付。</w:t>
      </w:r>
    </w:p>
    <w:p>
      <w:pPr>
        <w:pStyle w:val="6"/>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第十六条  特殊人员在市行政辖区内定点医疗机构就医，使用社会保障卡或医保电子凭证在医院端直接结算。</w:t>
      </w:r>
    </w:p>
    <w:p>
      <w:pPr>
        <w:pStyle w:val="6"/>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第十七条  </w:t>
      </w:r>
      <w:r>
        <w:rPr>
          <w:rFonts w:hint="default" w:ascii="Times New Roman" w:hAnsi="Times New Roman" w:eastAsia="仿宋_GB2312" w:cs="Times New Roman"/>
          <w:b w:val="0"/>
          <w:bCs w:val="0"/>
          <w:color w:val="000000"/>
          <w:sz w:val="32"/>
          <w:szCs w:val="32"/>
        </w:rPr>
        <w:t>参加医疗费用统一管理的</w:t>
      </w:r>
      <w:r>
        <w:rPr>
          <w:rFonts w:hint="default" w:ascii="Times New Roman" w:hAnsi="Times New Roman" w:eastAsia="仿宋_GB2312" w:cs="Times New Roman"/>
          <w:b w:val="0"/>
          <w:bCs w:val="0"/>
          <w:color w:val="000000"/>
          <w:sz w:val="32"/>
          <w:szCs w:val="32"/>
          <w:lang w:eastAsia="zh-CN"/>
        </w:rPr>
        <w:t>特殊人员</w:t>
      </w:r>
      <w:r>
        <w:rPr>
          <w:rFonts w:hint="default" w:ascii="Times New Roman" w:hAnsi="Times New Roman" w:eastAsia="仿宋_GB2312" w:cs="Times New Roman"/>
          <w:b w:val="0"/>
          <w:bCs w:val="0"/>
          <w:color w:val="000000"/>
          <w:sz w:val="32"/>
          <w:szCs w:val="32"/>
        </w:rPr>
        <w:t>，其</w:t>
      </w:r>
      <w:r>
        <w:rPr>
          <w:rFonts w:hint="default" w:ascii="Times New Roman" w:hAnsi="Times New Roman" w:eastAsia="仿宋_GB2312" w:cs="Times New Roman"/>
          <w:b w:val="0"/>
          <w:bCs w:val="0"/>
          <w:sz w:val="32"/>
          <w:szCs w:val="32"/>
        </w:rPr>
        <w:t>住院空调费按照自费医疗费支付标准给予报销；其住院床位费按定额标准给予补贴，超出部分个人自付，住院床位费定额标准由市医疗保障行政部门另行制定。</w:t>
      </w:r>
    </w:p>
    <w:p>
      <w:pPr>
        <w:pStyle w:val="6"/>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第十</w:t>
      </w:r>
      <w:r>
        <w:rPr>
          <w:rFonts w:hint="default" w:ascii="Times New Roman" w:hAnsi="Times New Roman" w:eastAsia="仿宋_GB2312" w:cs="Times New Roman"/>
          <w:b w:val="0"/>
          <w:bCs w:val="0"/>
          <w:sz w:val="32"/>
          <w:szCs w:val="32"/>
          <w:lang w:eastAsia="zh-CN"/>
        </w:rPr>
        <w:t>八</w:t>
      </w:r>
      <w:r>
        <w:rPr>
          <w:rFonts w:hint="default" w:ascii="Times New Roman" w:hAnsi="Times New Roman" w:eastAsia="仿宋_GB2312" w:cs="Times New Roman"/>
          <w:b w:val="0"/>
          <w:bCs w:val="0"/>
          <w:sz w:val="32"/>
          <w:szCs w:val="32"/>
        </w:rPr>
        <w:t>条  因病情需要转往市外上级医院诊治的，由三级医院提出申请，按转院程序报市医疗保障经办机构审核批准后，到指定医院诊治。治疗结束后，凭社会保障卡或医保电子凭证在异地就医的定点医疗机构直接结算，或医疗费先由个人垫支，出院后持相关证明材料回参保地经办机构按本办法第十五条相应标准报销。</w:t>
      </w:r>
    </w:p>
    <w:p>
      <w:pPr>
        <w:pStyle w:val="6"/>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第十</w:t>
      </w:r>
      <w:r>
        <w:rPr>
          <w:rFonts w:hint="default" w:ascii="Times New Roman" w:hAnsi="Times New Roman" w:eastAsia="仿宋_GB2312" w:cs="Times New Roman"/>
          <w:b w:val="0"/>
          <w:bCs w:val="0"/>
          <w:sz w:val="32"/>
          <w:szCs w:val="32"/>
          <w:lang w:eastAsia="zh-CN"/>
        </w:rPr>
        <w:t>九</w:t>
      </w:r>
      <w:r>
        <w:rPr>
          <w:rFonts w:hint="default" w:ascii="Times New Roman" w:hAnsi="Times New Roman" w:eastAsia="仿宋_GB2312" w:cs="Times New Roman"/>
          <w:b w:val="0"/>
          <w:bCs w:val="0"/>
          <w:sz w:val="32"/>
          <w:szCs w:val="32"/>
        </w:rPr>
        <w:t>条  异地居住的特殊人员经备案后在当地发生的门诊、住院医疗费，凭社会保障卡或医保电子凭证在就医的定点医疗机构直接结算，或医疗费先由个人垫支，出院后持相关证明材料回参保地经办机构按本办法第十五条相应标准报销。</w:t>
      </w:r>
    </w:p>
    <w:p>
      <w:pPr>
        <w:pStyle w:val="6"/>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第二十条  因急诊到非定点医疗机构就诊的，医疗费用先由个人垫支，出院后持相关证明材料到参保地经办机构按本办法第十五条相关标准报销。</w:t>
      </w:r>
    </w:p>
    <w:p>
      <w:pPr>
        <w:pStyle w:val="6"/>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第二十</w:t>
      </w:r>
      <w:r>
        <w:rPr>
          <w:rFonts w:hint="default" w:ascii="Times New Roman" w:hAnsi="Times New Roman" w:eastAsia="仿宋_GB2312" w:cs="Times New Roman"/>
          <w:b w:val="0"/>
          <w:bCs w:val="0"/>
          <w:sz w:val="32"/>
          <w:szCs w:val="32"/>
          <w:lang w:eastAsia="zh-CN"/>
        </w:rPr>
        <w:t>一</w:t>
      </w:r>
      <w:r>
        <w:rPr>
          <w:rFonts w:hint="default" w:ascii="Times New Roman" w:hAnsi="Times New Roman" w:eastAsia="仿宋_GB2312" w:cs="Times New Roman"/>
          <w:b w:val="0"/>
          <w:bCs w:val="0"/>
          <w:sz w:val="32"/>
          <w:szCs w:val="32"/>
        </w:rPr>
        <w:t>条  所有特殊人员要树立节约观念，自觉控制不合理的医疗开支。《医疗证》、社会保障卡及医保电子凭证不得转借他人使用，一经发现，市医疗保障经办机构按有关规定追回所发生的医疗费。</w:t>
      </w:r>
    </w:p>
    <w:p>
      <w:pPr>
        <w:pStyle w:val="6"/>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第二十</w:t>
      </w:r>
      <w:r>
        <w:rPr>
          <w:rFonts w:hint="default" w:ascii="Times New Roman" w:hAnsi="Times New Roman" w:eastAsia="仿宋_GB2312" w:cs="Times New Roman"/>
          <w:b w:val="0"/>
          <w:bCs w:val="0"/>
          <w:sz w:val="32"/>
          <w:szCs w:val="32"/>
          <w:lang w:eastAsia="zh-CN"/>
        </w:rPr>
        <w:t>二</w:t>
      </w:r>
      <w:r>
        <w:rPr>
          <w:rFonts w:hint="default" w:ascii="Times New Roman" w:hAnsi="Times New Roman" w:eastAsia="仿宋_GB2312" w:cs="Times New Roman"/>
          <w:b w:val="0"/>
          <w:bCs w:val="0"/>
          <w:sz w:val="32"/>
          <w:szCs w:val="32"/>
        </w:rPr>
        <w:t>条  经市医疗保障经办机构审核属不必要使用的检查、治疗等项目，根据与定点医疗机构签订协议的相关条款，追究定点医疗机构责任。特殊人员未经市医疗保障经办机构批准而自行转往非定点医疗机构诊治以及自请医生、自购药品、不按程序办理而发生的医疗费用，一律不予报销。</w:t>
      </w:r>
    </w:p>
    <w:p>
      <w:pPr>
        <w:pStyle w:val="6"/>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宋体" w:cs="Times New Roman"/>
          <w:b w:val="0"/>
          <w:bCs w:val="0"/>
        </w:rPr>
      </w:pPr>
      <w:r>
        <w:rPr>
          <w:rFonts w:hint="default" w:ascii="Times New Roman" w:hAnsi="Times New Roman" w:eastAsia="仿宋_GB2312" w:cs="Times New Roman"/>
          <w:b w:val="0"/>
          <w:bCs w:val="0"/>
          <w:sz w:val="32"/>
          <w:szCs w:val="32"/>
        </w:rPr>
        <w:t>第二十</w:t>
      </w:r>
      <w:r>
        <w:rPr>
          <w:rFonts w:hint="default" w:ascii="Times New Roman" w:hAnsi="Times New Roman" w:eastAsia="仿宋_GB2312" w:cs="Times New Roman"/>
          <w:b w:val="0"/>
          <w:bCs w:val="0"/>
          <w:sz w:val="32"/>
          <w:szCs w:val="32"/>
          <w:lang w:eastAsia="zh-CN"/>
        </w:rPr>
        <w:t>三</w:t>
      </w:r>
      <w:r>
        <w:rPr>
          <w:rFonts w:hint="default" w:ascii="Times New Roman" w:hAnsi="Times New Roman" w:eastAsia="仿宋_GB2312" w:cs="Times New Roman"/>
          <w:b w:val="0"/>
          <w:bCs w:val="0"/>
          <w:sz w:val="32"/>
          <w:szCs w:val="32"/>
        </w:rPr>
        <w:t>条  市医疗保障行政部门会同市财政、审计部门对特殊人员医疗经费的筹集、管理、支付等情况进行监督。</w:t>
      </w:r>
    </w:p>
    <w:p>
      <w:pPr>
        <w:pStyle w:val="39"/>
        <w:keepNext w:val="0"/>
        <w:keepLines w:val="0"/>
        <w:pageBreakBefore w:val="0"/>
        <w:widowControl w:val="0"/>
        <w:kinsoku/>
        <w:wordWrap/>
        <w:overflowPunct/>
        <w:topLinePunct w:val="0"/>
        <w:autoSpaceDE/>
        <w:autoSpaceDN/>
        <w:bidi w:val="0"/>
        <w:spacing w:before="0" w:beforeAutospacing="0" w:after="0" w:afterAutospacing="0" w:line="560" w:lineRule="exact"/>
        <w:jc w:val="center"/>
        <w:textAlignment w:val="auto"/>
        <w:rPr>
          <w:rFonts w:hint="default" w:ascii="Times New Roman" w:hAnsi="Times New Roman" w:eastAsia="黑体" w:cs="Times New Roman"/>
          <w:b w:val="0"/>
          <w:bCs w:val="0"/>
          <w:color w:val="000000"/>
          <w:kern w:val="2"/>
          <w:sz w:val="32"/>
          <w:szCs w:val="32"/>
        </w:rPr>
      </w:pPr>
    </w:p>
    <w:p>
      <w:pPr>
        <w:pStyle w:val="39"/>
        <w:keepNext w:val="0"/>
        <w:keepLines w:val="0"/>
        <w:pageBreakBefore w:val="0"/>
        <w:widowControl w:val="0"/>
        <w:kinsoku/>
        <w:wordWrap/>
        <w:overflowPunct/>
        <w:topLinePunct w:val="0"/>
        <w:autoSpaceDE/>
        <w:autoSpaceDN/>
        <w:bidi w:val="0"/>
        <w:spacing w:before="0" w:beforeAutospacing="0" w:after="0" w:afterAutospacing="0" w:line="560" w:lineRule="exact"/>
        <w:jc w:val="center"/>
        <w:textAlignment w:val="auto"/>
        <w:rPr>
          <w:rFonts w:hint="default" w:ascii="Times New Roman" w:hAnsi="Times New Roman" w:eastAsia="黑体" w:cs="Times New Roman"/>
          <w:b w:val="0"/>
          <w:bCs w:val="0"/>
          <w:color w:val="000000"/>
          <w:kern w:val="2"/>
          <w:sz w:val="32"/>
          <w:szCs w:val="32"/>
        </w:rPr>
      </w:pPr>
      <w:r>
        <w:rPr>
          <w:rFonts w:hint="default" w:ascii="Times New Roman" w:hAnsi="Times New Roman" w:eastAsia="黑体" w:cs="Times New Roman"/>
          <w:b w:val="0"/>
          <w:bCs w:val="0"/>
          <w:color w:val="000000"/>
          <w:kern w:val="2"/>
          <w:sz w:val="32"/>
          <w:szCs w:val="32"/>
        </w:rPr>
        <w:t>第四章  附  则</w:t>
      </w:r>
    </w:p>
    <w:p>
      <w:pPr>
        <w:pStyle w:val="39"/>
        <w:keepNext w:val="0"/>
        <w:keepLines w:val="0"/>
        <w:pageBreakBefore w:val="0"/>
        <w:widowControl w:val="0"/>
        <w:kinsoku/>
        <w:wordWrap/>
        <w:overflowPunct/>
        <w:topLinePunct w:val="0"/>
        <w:autoSpaceDE/>
        <w:autoSpaceDN/>
        <w:bidi w:val="0"/>
        <w:spacing w:before="0" w:beforeAutospacing="0" w:after="0" w:afterAutospacing="0" w:line="560" w:lineRule="exact"/>
        <w:jc w:val="center"/>
        <w:textAlignment w:val="auto"/>
        <w:rPr>
          <w:rFonts w:hint="default" w:ascii="Times New Roman" w:hAnsi="Times New Roman" w:eastAsia="黑体" w:cs="Times New Roman"/>
          <w:b w:val="0"/>
          <w:bCs w:val="0"/>
          <w:color w:val="000000"/>
          <w:kern w:val="2"/>
          <w:sz w:val="32"/>
          <w:szCs w:val="32"/>
        </w:rPr>
      </w:pPr>
    </w:p>
    <w:p>
      <w:pPr>
        <w:pStyle w:val="6"/>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第二十</w:t>
      </w:r>
      <w:r>
        <w:rPr>
          <w:rFonts w:hint="default" w:ascii="Times New Roman" w:hAnsi="Times New Roman" w:eastAsia="仿宋_GB2312" w:cs="Times New Roman"/>
          <w:b w:val="0"/>
          <w:bCs w:val="0"/>
          <w:sz w:val="32"/>
          <w:szCs w:val="32"/>
          <w:lang w:eastAsia="zh-CN"/>
        </w:rPr>
        <w:t>四</w:t>
      </w:r>
      <w:r>
        <w:rPr>
          <w:rFonts w:hint="default" w:ascii="Times New Roman" w:hAnsi="Times New Roman" w:eastAsia="仿宋_GB2312" w:cs="Times New Roman"/>
          <w:b w:val="0"/>
          <w:bCs w:val="0"/>
          <w:sz w:val="32"/>
          <w:szCs w:val="32"/>
        </w:rPr>
        <w:t>条  用人单位设专人负责办理特殊人员的《医疗证》、社会保障卡及医疗费的缴费、报销手续。</w:t>
      </w:r>
    </w:p>
    <w:p>
      <w:pPr>
        <w:pStyle w:val="6"/>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第二十</w:t>
      </w:r>
      <w:r>
        <w:rPr>
          <w:rFonts w:hint="default" w:ascii="Times New Roman" w:hAnsi="Times New Roman" w:eastAsia="仿宋_GB2312" w:cs="Times New Roman"/>
          <w:b w:val="0"/>
          <w:bCs w:val="0"/>
          <w:sz w:val="32"/>
          <w:szCs w:val="32"/>
          <w:lang w:eastAsia="zh-CN"/>
        </w:rPr>
        <w:t>五</w:t>
      </w:r>
      <w:r>
        <w:rPr>
          <w:rFonts w:hint="default" w:ascii="Times New Roman" w:hAnsi="Times New Roman" w:eastAsia="仿宋_GB2312" w:cs="Times New Roman"/>
          <w:b w:val="0"/>
          <w:bCs w:val="0"/>
          <w:sz w:val="32"/>
          <w:szCs w:val="32"/>
        </w:rPr>
        <w:t>条  参加特殊人员医疗费用统一管理的单位，需到市医疗保障经办机构领取《柳州市特殊人员情况登记表》，经审核后，双方签订《柳州市特殊人员医疗费用统一管理协议书》，明确双方责任、权利、义务。</w:t>
      </w:r>
    </w:p>
    <w:p>
      <w:pPr>
        <w:pStyle w:val="6"/>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第二十</w:t>
      </w:r>
      <w:r>
        <w:rPr>
          <w:rFonts w:hint="default" w:ascii="Times New Roman" w:hAnsi="Times New Roman" w:eastAsia="仿宋_GB2312" w:cs="Times New Roman"/>
          <w:b w:val="0"/>
          <w:bCs w:val="0"/>
          <w:sz w:val="32"/>
          <w:szCs w:val="32"/>
          <w:lang w:eastAsia="zh-CN"/>
        </w:rPr>
        <w:t>六</w:t>
      </w:r>
      <w:r>
        <w:rPr>
          <w:rFonts w:hint="default" w:ascii="Times New Roman" w:hAnsi="Times New Roman" w:eastAsia="仿宋_GB2312" w:cs="Times New Roman"/>
          <w:b w:val="0"/>
          <w:bCs w:val="0"/>
          <w:sz w:val="32"/>
          <w:szCs w:val="32"/>
        </w:rPr>
        <w:t>条  各县区</w:t>
      </w:r>
      <w:r>
        <w:rPr>
          <w:rFonts w:hint="default" w:ascii="Times New Roman" w:hAnsi="Times New Roman" w:eastAsia="仿宋_GB2312" w:cs="Times New Roman"/>
          <w:b w:val="0"/>
          <w:bCs w:val="0"/>
          <w:color w:val="000000"/>
          <w:sz w:val="32"/>
          <w:szCs w:val="32"/>
          <w:lang w:eastAsia="zh-CN"/>
        </w:rPr>
        <w:t>（新区）</w:t>
      </w:r>
      <w:r>
        <w:rPr>
          <w:rFonts w:hint="default" w:ascii="Times New Roman" w:hAnsi="Times New Roman" w:eastAsia="仿宋_GB2312" w:cs="Times New Roman"/>
          <w:b w:val="0"/>
          <w:bCs w:val="0"/>
          <w:sz w:val="32"/>
          <w:szCs w:val="32"/>
        </w:rPr>
        <w:t>按照自愿原则，以县区</w:t>
      </w:r>
      <w:r>
        <w:rPr>
          <w:rFonts w:hint="default" w:ascii="Times New Roman" w:hAnsi="Times New Roman" w:eastAsia="仿宋_GB2312" w:cs="Times New Roman"/>
          <w:b w:val="0"/>
          <w:bCs w:val="0"/>
          <w:color w:val="000000"/>
          <w:sz w:val="32"/>
          <w:szCs w:val="32"/>
          <w:lang w:eastAsia="zh-CN"/>
        </w:rPr>
        <w:t>（新区）</w:t>
      </w:r>
      <w:r>
        <w:rPr>
          <w:rFonts w:hint="default" w:ascii="Times New Roman" w:hAnsi="Times New Roman" w:eastAsia="仿宋_GB2312" w:cs="Times New Roman"/>
          <w:b w:val="0"/>
          <w:bCs w:val="0"/>
          <w:sz w:val="32"/>
          <w:szCs w:val="32"/>
        </w:rPr>
        <w:t>为单位</w:t>
      </w:r>
      <w:r>
        <w:rPr>
          <w:rFonts w:hint="default" w:ascii="Times New Roman" w:hAnsi="Times New Roman" w:eastAsia="仿宋_GB2312" w:cs="Times New Roman"/>
          <w:b w:val="0"/>
          <w:bCs w:val="0"/>
          <w:sz w:val="32"/>
          <w:szCs w:val="32"/>
          <w:lang w:eastAsia="zh-CN"/>
        </w:rPr>
        <w:t>整体</w:t>
      </w:r>
      <w:r>
        <w:rPr>
          <w:rFonts w:hint="default" w:ascii="Times New Roman" w:hAnsi="Times New Roman" w:eastAsia="仿宋_GB2312" w:cs="Times New Roman"/>
          <w:b w:val="0"/>
          <w:bCs w:val="0"/>
          <w:sz w:val="32"/>
          <w:szCs w:val="32"/>
        </w:rPr>
        <w:t xml:space="preserve">参加特殊人员医疗费用统一管理。 </w:t>
      </w:r>
    </w:p>
    <w:p>
      <w:pPr>
        <w:pStyle w:val="6"/>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val="0"/>
          <w:color w:val="FF0000"/>
          <w:sz w:val="32"/>
          <w:szCs w:val="32"/>
        </w:rPr>
      </w:pPr>
      <w:r>
        <w:rPr>
          <w:rFonts w:hint="default" w:ascii="Times New Roman" w:hAnsi="Times New Roman" w:eastAsia="仿宋_GB2312" w:cs="Times New Roman"/>
          <w:b w:val="0"/>
          <w:bCs w:val="0"/>
          <w:sz w:val="32"/>
          <w:szCs w:val="32"/>
        </w:rPr>
        <w:t>第二十</w:t>
      </w:r>
      <w:r>
        <w:rPr>
          <w:rFonts w:hint="default" w:ascii="Times New Roman" w:hAnsi="Times New Roman" w:eastAsia="仿宋_GB2312" w:cs="Times New Roman"/>
          <w:b w:val="0"/>
          <w:bCs w:val="0"/>
          <w:sz w:val="32"/>
          <w:szCs w:val="32"/>
          <w:lang w:eastAsia="zh-CN"/>
        </w:rPr>
        <w:t>七</w:t>
      </w:r>
      <w:r>
        <w:rPr>
          <w:rFonts w:hint="default" w:ascii="Times New Roman" w:hAnsi="Times New Roman" w:eastAsia="仿宋_GB2312" w:cs="Times New Roman"/>
          <w:b w:val="0"/>
          <w:bCs w:val="0"/>
          <w:sz w:val="32"/>
          <w:szCs w:val="32"/>
        </w:rPr>
        <w:t>条  本办法所称基本医疗范围按照国家、自治区所规定的范围，具体见国家、自治区下发的基本医疗保险药品目录、基本医疗保险诊疗项目范围、基本医疗保险医疗服务设施范围。</w:t>
      </w:r>
    </w:p>
    <w:p>
      <w:pPr>
        <w:pStyle w:val="6"/>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第二十</w:t>
      </w:r>
      <w:r>
        <w:rPr>
          <w:rFonts w:hint="default" w:ascii="Times New Roman" w:hAnsi="Times New Roman" w:eastAsia="仿宋_GB2312" w:cs="Times New Roman"/>
          <w:b w:val="0"/>
          <w:bCs w:val="0"/>
          <w:sz w:val="32"/>
          <w:szCs w:val="32"/>
          <w:lang w:eastAsia="zh-CN"/>
        </w:rPr>
        <w:t>八</w:t>
      </w:r>
      <w:r>
        <w:rPr>
          <w:rFonts w:hint="default" w:ascii="Times New Roman" w:hAnsi="Times New Roman" w:eastAsia="仿宋_GB2312" w:cs="Times New Roman"/>
          <w:b w:val="0"/>
          <w:bCs w:val="0"/>
          <w:sz w:val="32"/>
          <w:szCs w:val="32"/>
        </w:rPr>
        <w:t>条  特殊人员医疗费用实行预算和结算管理，具体预结算办法由市医疗保障行政部门会同财政部门另行制定。</w:t>
      </w:r>
    </w:p>
    <w:p>
      <w:pPr>
        <w:pStyle w:val="6"/>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val="0"/>
          <w:color w:val="FF0000"/>
          <w:sz w:val="32"/>
          <w:szCs w:val="32"/>
        </w:rPr>
      </w:pPr>
      <w:r>
        <w:rPr>
          <w:rFonts w:hint="default" w:ascii="Times New Roman" w:hAnsi="Times New Roman" w:eastAsia="仿宋_GB2312" w:cs="Times New Roman"/>
          <w:b w:val="0"/>
          <w:bCs w:val="0"/>
          <w:sz w:val="32"/>
          <w:szCs w:val="32"/>
        </w:rPr>
        <w:t>第</w:t>
      </w:r>
      <w:r>
        <w:rPr>
          <w:rFonts w:hint="default" w:ascii="Times New Roman" w:hAnsi="Times New Roman" w:eastAsia="仿宋_GB2312" w:cs="Times New Roman"/>
          <w:b w:val="0"/>
          <w:bCs w:val="0"/>
          <w:sz w:val="32"/>
          <w:szCs w:val="32"/>
          <w:lang w:eastAsia="zh-CN"/>
        </w:rPr>
        <w:t>二</w:t>
      </w:r>
      <w:r>
        <w:rPr>
          <w:rFonts w:hint="default" w:ascii="Times New Roman" w:hAnsi="Times New Roman" w:eastAsia="仿宋_GB2312" w:cs="Times New Roman"/>
          <w:b w:val="0"/>
          <w:bCs w:val="0"/>
          <w:sz w:val="32"/>
          <w:szCs w:val="32"/>
        </w:rPr>
        <w:t>十</w:t>
      </w:r>
      <w:r>
        <w:rPr>
          <w:rFonts w:hint="default" w:ascii="Times New Roman" w:hAnsi="Times New Roman" w:eastAsia="仿宋_GB2312" w:cs="Times New Roman"/>
          <w:b w:val="0"/>
          <w:bCs w:val="0"/>
          <w:sz w:val="32"/>
          <w:szCs w:val="32"/>
          <w:lang w:eastAsia="zh-CN"/>
        </w:rPr>
        <w:t>九</w:t>
      </w:r>
      <w:r>
        <w:rPr>
          <w:rFonts w:hint="default" w:ascii="Times New Roman" w:hAnsi="Times New Roman" w:eastAsia="仿宋_GB2312" w:cs="Times New Roman"/>
          <w:b w:val="0"/>
          <w:bCs w:val="0"/>
          <w:sz w:val="32"/>
          <w:szCs w:val="32"/>
        </w:rPr>
        <w:t>条  本办法由市医疗保障行政部门负责解释。</w:t>
      </w:r>
    </w:p>
    <w:p>
      <w:pPr>
        <w:pStyle w:val="6"/>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第三十条  本办法自2022年1月1日起施行。《柳州市老红军、离休人员、二等乙级以上革命伤残军人医疗管理暂行办法》（柳政发〔2002〕77号）、《柳州市人民政府关于调整落实厅级离休人员和一至六级革命伤残军人医疗待遇有关问题的补充通知》（柳政发〔2008〕48号）同时废止。</w:t>
      </w:r>
    </w:p>
    <w:p>
      <w:pPr>
        <w:pStyle w:val="39"/>
        <w:keepNext w:val="0"/>
        <w:keepLines w:val="0"/>
        <w:pageBreakBefore w:val="0"/>
        <w:widowControl w:val="0"/>
        <w:kinsoku/>
        <w:wordWrap/>
        <w:overflowPunct/>
        <w:topLinePunct w:val="0"/>
        <w:autoSpaceDE/>
        <w:autoSpaceDN/>
        <w:bidi w:val="0"/>
        <w:spacing w:before="0" w:beforeAutospacing="0" w:after="0" w:afterAutospacing="0" w:line="560" w:lineRule="exact"/>
        <w:jc w:val="both"/>
        <w:textAlignment w:val="auto"/>
        <w:rPr>
          <w:rFonts w:hint="default" w:ascii="Times New Roman" w:hAnsi="Times New Roman" w:eastAsia="宋体" w:cs="Times New Roman"/>
          <w:b w:val="0"/>
          <w:bCs w:val="0"/>
          <w:sz w:val="28"/>
          <w:szCs w:val="28"/>
        </w:rPr>
      </w:pPr>
    </w:p>
    <w:p>
      <w:pPr>
        <w:pStyle w:val="39"/>
        <w:keepNext w:val="0"/>
        <w:keepLines w:val="0"/>
        <w:pageBreakBefore w:val="0"/>
        <w:widowControl w:val="0"/>
        <w:kinsoku/>
        <w:wordWrap/>
        <w:overflowPunct/>
        <w:topLinePunct w:val="0"/>
        <w:autoSpaceDE/>
        <w:autoSpaceDN/>
        <w:bidi w:val="0"/>
        <w:spacing w:before="0" w:beforeAutospacing="0" w:after="0" w:afterAutospacing="0" w:line="560" w:lineRule="exact"/>
        <w:jc w:val="both"/>
        <w:textAlignment w:val="auto"/>
        <w:rPr>
          <w:rFonts w:hint="default" w:ascii="Times New Roman" w:hAnsi="Times New Roman" w:eastAsia="宋体" w:cs="Times New Roman"/>
          <w:b w:val="0"/>
          <w:bCs w:val="0"/>
          <w:sz w:val="28"/>
          <w:szCs w:val="28"/>
        </w:rPr>
      </w:pPr>
    </w:p>
    <w:p>
      <w:pPr>
        <w:pStyle w:val="39"/>
        <w:keepNext w:val="0"/>
        <w:keepLines w:val="0"/>
        <w:pageBreakBefore w:val="0"/>
        <w:widowControl w:val="0"/>
        <w:kinsoku/>
        <w:wordWrap/>
        <w:overflowPunct/>
        <w:topLinePunct w:val="0"/>
        <w:autoSpaceDE/>
        <w:autoSpaceDN/>
        <w:bidi w:val="0"/>
        <w:spacing w:before="0" w:beforeAutospacing="0" w:after="0" w:afterAutospacing="0" w:line="560" w:lineRule="exact"/>
        <w:jc w:val="both"/>
        <w:textAlignment w:val="auto"/>
        <w:rPr>
          <w:rFonts w:hint="default" w:ascii="Times New Roman" w:hAnsi="Times New Roman" w:eastAsia="宋体" w:cs="Times New Roman"/>
          <w:b w:val="0"/>
          <w:bCs w:val="0"/>
          <w:sz w:val="28"/>
          <w:szCs w:val="28"/>
        </w:rPr>
      </w:pPr>
    </w:p>
    <w:p>
      <w:pPr>
        <w:pStyle w:val="39"/>
        <w:keepNext w:val="0"/>
        <w:keepLines w:val="0"/>
        <w:pageBreakBefore w:val="0"/>
        <w:widowControl w:val="0"/>
        <w:kinsoku/>
        <w:wordWrap/>
        <w:overflowPunct/>
        <w:topLinePunct w:val="0"/>
        <w:autoSpaceDE/>
        <w:autoSpaceDN/>
        <w:bidi w:val="0"/>
        <w:spacing w:before="0" w:beforeAutospacing="0" w:after="0" w:afterAutospacing="0" w:line="560" w:lineRule="exact"/>
        <w:jc w:val="both"/>
        <w:textAlignment w:val="auto"/>
        <w:rPr>
          <w:rFonts w:hint="default" w:ascii="Times New Roman" w:hAnsi="Times New Roman" w:eastAsia="宋体" w:cs="Times New Roman"/>
          <w:b w:val="0"/>
          <w:bCs w:val="0"/>
          <w:sz w:val="28"/>
          <w:szCs w:val="28"/>
        </w:rPr>
      </w:pPr>
    </w:p>
    <w:p>
      <w:pPr>
        <w:pStyle w:val="2"/>
        <w:rPr>
          <w:rFonts w:hint="default"/>
        </w:rPr>
      </w:pPr>
    </w:p>
    <w:p>
      <w:pPr>
        <w:spacing w:line="560" w:lineRule="exact"/>
        <w:ind w:firstLine="645"/>
        <w:rPr>
          <w:rFonts w:hint="default" w:ascii="Times New Roman" w:hAnsi="Times New Roman" w:eastAsia="仿宋_GB2312" w:cs="Times New Roman"/>
          <w:b w:val="0"/>
          <w:bCs w:val="0"/>
          <w:color w:val="000000"/>
          <w:sz w:val="32"/>
          <w:szCs w:val="32"/>
        </w:rPr>
      </w:pPr>
      <w:r>
        <w:rPr>
          <w:rFonts w:hint="default" w:ascii="Times New Roman" w:hAnsi="Times New Roman" w:eastAsia="黑体" w:cs="Times New Roman"/>
          <w:b w:val="0"/>
          <w:bCs w:val="0"/>
          <w:color w:val="000000"/>
          <w:sz w:val="32"/>
          <w:szCs w:val="32"/>
        </w:rPr>
        <w:t>公开方式</w:t>
      </w:r>
      <w:r>
        <w:rPr>
          <w:rFonts w:hint="default" w:ascii="Times New Roman" w:hAnsi="Times New Roman" w:eastAsia="仿宋_GB2312" w:cs="Times New Roman"/>
          <w:b w:val="0"/>
          <w:bCs w:val="0"/>
          <w:color w:val="000000"/>
          <w:sz w:val="32"/>
          <w:szCs w:val="32"/>
        </w:rPr>
        <w:t>：主动公开</w:t>
      </w:r>
    </w:p>
    <w:p>
      <w:pPr>
        <w:pStyle w:val="2"/>
        <w:rPr>
          <w:rFonts w:hint="default" w:ascii="Times New Roman" w:hAnsi="Times New Roman" w:eastAsia="仿宋_GB2312" w:cs="Times New Roman"/>
          <w:b w:val="0"/>
          <w:bCs w:val="0"/>
          <w:color w:val="000000"/>
          <w:sz w:val="32"/>
          <w:szCs w:val="32"/>
        </w:rPr>
      </w:pPr>
    </w:p>
    <w:p>
      <w:pPr>
        <w:rPr>
          <w:rFonts w:hint="default"/>
        </w:rPr>
      </w:pPr>
    </w:p>
    <w:p>
      <w:pPr>
        <w:spacing w:line="360" w:lineRule="exact"/>
        <w:rPr>
          <w:rFonts w:hint="default" w:ascii="Times New Roman" w:hAnsi="Times New Roman" w:eastAsia="仿宋_GB2312" w:cs="Times New Roman"/>
          <w:b w:val="0"/>
          <w:bCs w:val="0"/>
          <w:color w:val="000000"/>
          <w:sz w:val="28"/>
        </w:rPr>
      </w:pPr>
    </w:p>
    <w:p>
      <w:pPr>
        <w:widowControl/>
        <w:spacing w:line="460" w:lineRule="exact"/>
        <w:ind w:right="-334" w:rightChars="-159"/>
        <w:rPr>
          <w:rFonts w:hint="default" w:ascii="Times New Roman" w:hAnsi="Times New Roman" w:eastAsia="仿宋_GB2312" w:cs="Times New Roman"/>
          <w:b w:val="0"/>
          <w:bCs w:val="0"/>
          <w:color w:val="FFFFFF"/>
          <w:kern w:val="0"/>
          <w:sz w:val="28"/>
        </w:rPr>
      </w:pPr>
      <w:r>
        <w:rPr>
          <w:rFonts w:hint="default" w:ascii="Times New Roman" w:hAnsi="Times New Roman" w:eastAsia="仿宋_GB2312" w:cs="Times New Roman"/>
          <w:b w:val="0"/>
          <w:bCs w:val="0"/>
          <w:sz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17780</wp:posOffset>
                </wp:positionV>
                <wp:extent cx="5715000" cy="0"/>
                <wp:effectExtent l="0" t="0" r="0" b="0"/>
                <wp:wrapNone/>
                <wp:docPr id="3" name="直线 81"/>
                <wp:cNvGraphicFramePr/>
                <a:graphic xmlns:a="http://schemas.openxmlformats.org/drawingml/2006/main">
                  <a:graphicData uri="http://schemas.microsoft.com/office/word/2010/wordprocessingShape">
                    <wps:wsp>
                      <wps:cNvSpPr/>
                      <wps:spPr>
                        <a:xfrm>
                          <a:off x="0" y="0"/>
                          <a:ext cx="571500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81" o:spid="_x0000_s1026" o:spt="20" style="position:absolute;left:0pt;margin-left:0pt;margin-top:1.4pt;height:0pt;width:450pt;z-index:251660288;mso-width-relative:page;mso-height-relative:page;" filled="f" stroked="t" coordsize="21600,21600" o:gfxdata="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Ei5Mf7RAAAABAEAAA8A&#10;AAAAAAAAAQAgAAAAOAAAAGRycy9kb3ducmV2LnhtbFBLAQIUABQAAAAIAIdO4kALGndJzwEAAJED&#10;AAAOAAAAAAAAAAEAIAAAADYBAABkcnMvZTJvRG9jLnhtbFBLBQYAAAAABgAGAFkBAAB3BQAAAAA=&#10;">
                <v:fill on="f" focussize="0,0"/>
                <v:stroke color="#000000" joinstyle="round"/>
                <v:imagedata o:title=""/>
                <o:lock v:ext="edit" aspectratio="f"/>
              </v:line>
            </w:pict>
          </mc:Fallback>
        </mc:AlternateContent>
      </w:r>
      <w:r>
        <w:rPr>
          <w:rFonts w:hint="default" w:ascii="Times New Roman" w:hAnsi="Times New Roman" w:eastAsia="仿宋_GB2312" w:cs="Times New Roman"/>
          <w:b w:val="0"/>
          <w:bCs w:val="0"/>
          <w:color w:val="FFFFFF"/>
          <w:kern w:val="0"/>
          <w:sz w:val="28"/>
        </w:rPr>
        <w:t>柳</w:t>
      </w:r>
      <w:r>
        <w:rPr>
          <w:rFonts w:hint="default" w:ascii="Times New Roman" w:hAnsi="Times New Roman" w:eastAsia="仿宋_GB2312" w:cs="Times New Roman"/>
          <w:b w:val="0"/>
          <w:bCs w:val="0"/>
          <w:kern w:val="0"/>
          <w:sz w:val="28"/>
        </w:rPr>
        <w:t>抄送：市委办、市人大办、市政协办。</w:t>
      </w:r>
      <w:r>
        <w:rPr>
          <w:rFonts w:hint="default" w:ascii="Times New Roman" w:hAnsi="Times New Roman" w:eastAsia="仿宋_GB2312" w:cs="Times New Roman"/>
          <w:b w:val="0"/>
          <w:bCs w:val="0"/>
          <w:color w:val="FFFFFF"/>
          <w:kern w:val="0"/>
          <w:sz w:val="28"/>
        </w:rPr>
        <w:t>发</w:t>
      </w:r>
    </w:p>
    <w:p>
      <w:pPr>
        <w:widowControl/>
        <w:spacing w:line="460" w:lineRule="exact"/>
        <w:ind w:right="-334" w:rightChars="-159" w:firstLine="280" w:firstLineChars="100"/>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sz w:val="28"/>
          <w:lang w:bidi="ar-SA"/>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303530</wp:posOffset>
                </wp:positionV>
                <wp:extent cx="5715000" cy="0"/>
                <wp:effectExtent l="0" t="0" r="0" b="0"/>
                <wp:wrapNone/>
                <wp:docPr id="4" name="直线 82"/>
                <wp:cNvGraphicFramePr/>
                <a:graphic xmlns:a="http://schemas.openxmlformats.org/drawingml/2006/main">
                  <a:graphicData uri="http://schemas.microsoft.com/office/word/2010/wordprocessingShape">
                    <wps:wsp>
                      <wps:cNvSpPr/>
                      <wps:spPr>
                        <a:xfrm>
                          <a:off x="0" y="0"/>
                          <a:ext cx="571500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82" o:spid="_x0000_s1026" o:spt="20" style="position:absolute;left:0pt;margin-left:0pt;margin-top:23.9pt;height:0pt;width:450pt;z-index:251661312;mso-width-relative:page;mso-height-relative:page;" filled="f" stroked="t" coordsize="21600,21600" o:gfxdata="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D0ELz9MAAAAGAQAA&#10;DwAAAAAAAAABACAAAAA4AAAAZHJzL2Rvd25yZXYueG1sUEsBAhQAFAAAAAgAh07iQA/mgIvPAQAA&#10;kQMAAA4AAAAAAAAAAQAgAAAAOAEAAGRycy9lMm9Eb2MueG1sUEsFBgAAAAAGAAYAWQEAAHkFAAAA&#10;AA==&#10;">
                <v:fill on="f" focussize="0,0"/>
                <v:stroke color="#000000" joinstyle="round"/>
                <v:imagedata o:title=""/>
                <o:lock v:ext="edit" aspectratio="f"/>
              </v:line>
            </w:pict>
          </mc:Fallback>
        </mc:AlternateContent>
      </w:r>
      <w:r>
        <w:rPr>
          <w:rFonts w:hint="default" w:ascii="Times New Roman" w:hAnsi="Times New Roman" w:eastAsia="仿宋_GB2312" w:cs="Times New Roman"/>
          <w:b w:val="0"/>
          <w:bCs w:val="0"/>
          <w:sz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17780</wp:posOffset>
                </wp:positionV>
                <wp:extent cx="5715000" cy="0"/>
                <wp:effectExtent l="0" t="0" r="0" b="0"/>
                <wp:wrapNone/>
                <wp:docPr id="2" name="直线 83"/>
                <wp:cNvGraphicFramePr/>
                <a:graphic xmlns:a="http://schemas.openxmlformats.org/drawingml/2006/main">
                  <a:graphicData uri="http://schemas.microsoft.com/office/word/2010/wordprocessingShape">
                    <wps:wsp>
                      <wps:cNvSpPr/>
                      <wps:spPr>
                        <a:xfrm>
                          <a:off x="0" y="0"/>
                          <a:ext cx="571500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83" o:spid="_x0000_s1026" o:spt="20" style="position:absolute;left:0pt;margin-left:0pt;margin-top:1.4pt;height:0pt;width:450pt;z-index:251659264;mso-width-relative:page;mso-height-relative:page;" filled="f" stroked="t" coordsize="21600,21600" o:gfxdata="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Ei5Mf7RAAAABAEAAA8A&#10;AAAAAAAAAQAgAAAAOAAAAGRycy9kb3ducmV2LnhtbFBLAQIUABQAAAAIAIdO4kDZwM6AzwEAAJED&#10;AAAOAAAAAAAAAAEAIAAAADYBAABkcnMvZTJvRG9jLnhtbFBLBQYAAAAABgAGAFkBAAB3BQAAAAA=&#10;">
                <v:fill on="f" focussize="0,0"/>
                <v:stroke color="#000000" joinstyle="round"/>
                <v:imagedata o:title=""/>
                <o:lock v:ext="edit" aspectratio="f"/>
              </v:line>
            </w:pict>
          </mc:Fallback>
        </mc:AlternateContent>
      </w:r>
      <w:r>
        <w:rPr>
          <w:rFonts w:hint="default" w:ascii="Times New Roman" w:hAnsi="Times New Roman" w:eastAsia="仿宋_GB2312" w:cs="Times New Roman"/>
          <w:b w:val="0"/>
          <w:bCs w:val="0"/>
          <w:kern w:val="0"/>
          <w:sz w:val="28"/>
        </w:rPr>
        <w:t xml:space="preserve">柳州市人民政府办公室           </w:t>
      </w:r>
      <w:r>
        <w:rPr>
          <w:rFonts w:hint="default" w:ascii="Times New Roman" w:hAnsi="Times New Roman" w:eastAsia="仿宋_GB2312" w:cs="Times New Roman"/>
          <w:b w:val="0"/>
          <w:bCs w:val="0"/>
          <w:color w:val="FFFFFF"/>
          <w:kern w:val="0"/>
          <w:sz w:val="28"/>
        </w:rPr>
        <w:t xml:space="preserve">  </w:t>
      </w:r>
      <w:r>
        <w:rPr>
          <w:rFonts w:hint="eastAsia" w:ascii="Times New Roman" w:hAnsi="Times New Roman" w:eastAsia="仿宋_GB2312" w:cs="Times New Roman"/>
          <w:b w:val="0"/>
          <w:bCs w:val="0"/>
          <w:color w:val="FFFFFF"/>
          <w:kern w:val="0"/>
          <w:sz w:val="28"/>
          <w:lang w:val="en-US" w:eastAsia="zh-CN"/>
        </w:rPr>
        <w:t xml:space="preserve"> </w:t>
      </w:r>
      <w:r>
        <w:rPr>
          <w:rFonts w:hint="default" w:ascii="Times New Roman" w:hAnsi="Times New Roman" w:eastAsia="仿宋_GB2312" w:cs="Times New Roman"/>
          <w:b w:val="0"/>
          <w:bCs w:val="0"/>
          <w:color w:val="FFFFFF"/>
          <w:kern w:val="0"/>
          <w:sz w:val="28"/>
        </w:rPr>
        <w:t xml:space="preserve">      .</w:t>
      </w:r>
      <w:r>
        <w:rPr>
          <w:rFonts w:hint="default" w:ascii="Times New Roman" w:hAnsi="Times New Roman" w:eastAsia="仿宋_GB2312" w:cs="Times New Roman"/>
          <w:b w:val="0"/>
          <w:bCs w:val="0"/>
          <w:kern w:val="0"/>
          <w:sz w:val="28"/>
        </w:rPr>
        <w:t xml:space="preserve"> 202</w:t>
      </w:r>
      <w:r>
        <w:rPr>
          <w:rFonts w:hint="default" w:ascii="Times New Roman" w:hAnsi="Times New Roman" w:eastAsia="仿宋_GB2312" w:cs="Times New Roman"/>
          <w:b w:val="0"/>
          <w:bCs w:val="0"/>
          <w:kern w:val="0"/>
          <w:sz w:val="28"/>
          <w:lang w:val="en" w:eastAsia="zh-CN"/>
        </w:rPr>
        <w:t>2</w:t>
      </w:r>
      <w:r>
        <w:rPr>
          <w:rFonts w:hint="default" w:ascii="Times New Roman" w:hAnsi="Times New Roman" w:eastAsia="仿宋_GB2312" w:cs="Times New Roman"/>
          <w:b w:val="0"/>
          <w:bCs w:val="0"/>
          <w:kern w:val="0"/>
          <w:sz w:val="28"/>
        </w:rPr>
        <w:t>年</w:t>
      </w:r>
      <w:r>
        <w:rPr>
          <w:rFonts w:hint="default" w:ascii="Times New Roman" w:hAnsi="Times New Roman" w:eastAsia="仿宋_GB2312" w:cs="Times New Roman"/>
          <w:b w:val="0"/>
          <w:bCs w:val="0"/>
          <w:kern w:val="0"/>
          <w:sz w:val="28"/>
          <w:lang w:val="en"/>
        </w:rPr>
        <w:t>1</w:t>
      </w:r>
      <w:r>
        <w:rPr>
          <w:rFonts w:hint="default" w:ascii="Times New Roman" w:hAnsi="Times New Roman" w:eastAsia="仿宋_GB2312" w:cs="Times New Roman"/>
          <w:b w:val="0"/>
          <w:bCs w:val="0"/>
          <w:kern w:val="0"/>
          <w:sz w:val="28"/>
        </w:rPr>
        <w:t>月</w:t>
      </w:r>
      <w:r>
        <w:rPr>
          <w:rFonts w:hint="default" w:ascii="Times New Roman" w:hAnsi="Times New Roman" w:eastAsia="仿宋_GB2312" w:cs="Times New Roman"/>
          <w:b w:val="0"/>
          <w:bCs w:val="0"/>
          <w:kern w:val="0"/>
          <w:sz w:val="28"/>
          <w:lang w:val="en"/>
        </w:rPr>
        <w:t>20</w:t>
      </w:r>
      <w:r>
        <w:rPr>
          <w:rFonts w:hint="default" w:ascii="Times New Roman" w:hAnsi="Times New Roman" w:eastAsia="仿宋_GB2312" w:cs="Times New Roman"/>
          <w:b w:val="0"/>
          <w:bCs w:val="0"/>
          <w:kern w:val="0"/>
          <w:sz w:val="28"/>
        </w:rPr>
        <w:t>日印发</w:t>
      </w:r>
    </w:p>
    <w:sectPr>
      <w:footerReference r:id="rId7" w:type="first"/>
      <w:headerReference r:id="rId3" w:type="default"/>
      <w:footerReference r:id="rId5" w:type="default"/>
      <w:headerReference r:id="rId4" w:type="even"/>
      <w:footerReference r:id="rId6" w:type="even"/>
      <w:pgSz w:w="11906" w:h="16838"/>
      <w:pgMar w:top="2098" w:right="1361" w:bottom="1418" w:left="1531"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Verdana">
    <w:altName w:val="Ubuntu"/>
    <w:panose1 w:val="020B0604030504040204"/>
    <w:charset w:val="00"/>
    <w:family w:val="swiss"/>
    <w:pitch w:val="default"/>
    <w:sig w:usb0="A10006FF" w:usb1="4000205B" w:usb2="00000010" w:usb3="00000000" w:csb0="2000019F" w:csb1="00000000"/>
  </w:font>
  <w:font w:name="Arial">
    <w:altName w:val="Nimbus Roman No9 L"/>
    <w:panose1 w:val="020B0604020202020204"/>
    <w:charset w:val="00"/>
    <w:family w:val="swiss"/>
    <w:pitch w:val="default"/>
    <w:sig w:usb0="E0002AFF" w:usb1="C0007843" w:usb2="00000009" w:usb3="00000000" w:csb0="400001FF" w:csb1="FFFF0000"/>
  </w:font>
  <w:font w:name="新宋体">
    <w:panose1 w:val="020B0600000000000000"/>
    <w:charset w:val="86"/>
    <w:family w:val="modern"/>
    <w:pitch w:val="default"/>
    <w:sig w:usb0="30000083" w:usb1="2BDF3C10" w:usb2="00000016" w:usb3="00000000" w:csb0="602E0107" w:csb1="00000000"/>
  </w:font>
  <w:font w:name="华文新魏">
    <w:panose1 w:val="02010800040101010101"/>
    <w:charset w:val="86"/>
    <w:family w:val="auto"/>
    <w:pitch w:val="default"/>
    <w:sig w:usb0="00000001" w:usb1="080F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360"/>
      </w:tabs>
      <w:wordWrap w:val="0"/>
      <w:ind w:right="210" w:rightChars="100" w:firstLine="420" w:firstLineChars="150"/>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58215" cy="382270"/>
              <wp:effectExtent l="0" t="0" r="0" b="0"/>
              <wp:wrapNone/>
              <wp:docPr id="6" name="文本框 17"/>
              <wp:cNvGraphicFramePr/>
              <a:graphic xmlns:a="http://schemas.openxmlformats.org/drawingml/2006/main">
                <a:graphicData uri="http://schemas.microsoft.com/office/word/2010/wordprocessingShape">
                  <wps:wsp>
                    <wps:cNvSpPr txBox="true"/>
                    <wps:spPr>
                      <a:xfrm>
                        <a:off x="0" y="0"/>
                        <a:ext cx="958215" cy="382270"/>
                      </a:xfrm>
                      <a:prstGeom prst="rect">
                        <a:avLst/>
                      </a:prstGeom>
                      <a:noFill/>
                      <a:ln>
                        <a:noFill/>
                      </a:ln>
                    </wps:spPr>
                    <wps:txbx>
                      <w:txbxContent>
                        <w:p>
                          <w:pPr>
                            <w:pStyle w:val="9"/>
                            <w:tabs>
                              <w:tab w:val="left" w:pos="360"/>
                            </w:tabs>
                            <w:wordWrap w:val="0"/>
                            <w:ind w:right="210" w:rightChars="100" w:firstLine="420" w:firstLineChars="150"/>
                            <w:jc w:val="right"/>
                            <w:rPr>
                              <w:rFonts w:hint="eastAsia" w:eastAsia="宋体"/>
                              <w:lang w:val="en-US" w:eastAsia="zh-CN"/>
                            </w:rPr>
                          </w:pPr>
                          <w:r>
                            <w:rPr>
                              <w:rFonts w:ascii="宋体" w:hAnsi="宋体"/>
                              <w:sz w:val="28"/>
                              <w:szCs w:val="28"/>
                            </w:rPr>
                            <w:fldChar w:fldCharType="begin"/>
                          </w:r>
                          <w:r>
                            <w:rPr>
                              <w:rStyle w:val="19"/>
                              <w:rFonts w:ascii="宋体" w:hAnsi="宋体"/>
                              <w:sz w:val="28"/>
                              <w:szCs w:val="28"/>
                            </w:rPr>
                            <w:instrText xml:space="preserve"> PAGE </w:instrText>
                          </w:r>
                          <w:r>
                            <w:rPr>
                              <w:rFonts w:ascii="宋体" w:hAnsi="宋体"/>
                              <w:sz w:val="28"/>
                              <w:szCs w:val="28"/>
                            </w:rPr>
                            <w:fldChar w:fldCharType="separate"/>
                          </w:r>
                          <w:r>
                            <w:rPr>
                              <w:rStyle w:val="19"/>
                              <w:rFonts w:ascii="宋体" w:hAnsi="宋体"/>
                              <w:sz w:val="28"/>
                              <w:szCs w:val="28"/>
                            </w:rPr>
                            <w:t>- 3 -</w:t>
                          </w:r>
                          <w:r>
                            <w:rPr>
                              <w:rFonts w:ascii="宋体" w:hAnsi="宋体"/>
                              <w:sz w:val="28"/>
                              <w:szCs w:val="28"/>
                            </w:rPr>
                            <w:fldChar w:fldCharType="end"/>
                          </w:r>
                          <w:r>
                            <w:rPr>
                              <w:rStyle w:val="19"/>
                              <w:rFonts w:hint="eastAsia" w:ascii="宋体" w:hAnsi="宋体"/>
                              <w:sz w:val="28"/>
                              <w:szCs w:val="28"/>
                              <w:lang w:val="en-US" w:eastAsia="zh-CN"/>
                            </w:rPr>
                            <w:t xml:space="preserve"> </w:t>
                          </w:r>
                        </w:p>
                      </w:txbxContent>
                    </wps:txbx>
                    <wps:bodyPr vert="horz" wrap="square" lIns="0" tIns="0" rIns="0" bIns="0" anchor="t" anchorCtr="false" upright="false"/>
                  </wps:wsp>
                </a:graphicData>
              </a:graphic>
            </wp:anchor>
          </w:drawing>
        </mc:Choice>
        <mc:Fallback>
          <w:pict>
            <v:shape id="文本框 17" o:spid="_x0000_s1026" o:spt="202" type="#_x0000_t202" style="position:absolute;left:0pt;margin-top:0pt;height:30.1pt;width:75.45pt;mso-position-horizontal:outside;mso-position-horizontal-relative:margin;z-index:251659264;mso-width-relative:page;mso-height-relative:page;" filled="f" stroked="f" coordsize="21600,21600" o:gfxdata="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Cx9mEzUAAAABAEAAA8AAAAAAAAA&#10;AQAgAAAAOAAAAGRycy9kb3ducmV2LnhtbFBLAQIUABQAAAAIAIdO4kDafVjhxgEAAGIDAAAOAAAA&#10;AAAAAAEAIAAAADkBAABkcnMvZTJvRG9jLnhtbFBLBQYAAAAABgAGAFkBAABxBQAAAAA=&#10;">
              <v:fill on="f" focussize="0,0"/>
              <v:stroke on="f"/>
              <v:imagedata o:title=""/>
              <o:lock v:ext="edit" aspectratio="f"/>
              <v:textbox inset="0mm,0mm,0mm,0mm">
                <w:txbxContent>
                  <w:p>
                    <w:pPr>
                      <w:pStyle w:val="9"/>
                      <w:tabs>
                        <w:tab w:val="left" w:pos="360"/>
                      </w:tabs>
                      <w:wordWrap w:val="0"/>
                      <w:ind w:right="210" w:rightChars="100" w:firstLine="420" w:firstLineChars="150"/>
                      <w:jc w:val="right"/>
                      <w:rPr>
                        <w:rFonts w:hint="eastAsia" w:eastAsia="宋体"/>
                        <w:lang w:val="en-US" w:eastAsia="zh-CN"/>
                      </w:rPr>
                    </w:pPr>
                    <w:r>
                      <w:rPr>
                        <w:rFonts w:ascii="宋体" w:hAnsi="宋体"/>
                        <w:sz w:val="28"/>
                        <w:szCs w:val="28"/>
                      </w:rPr>
                      <w:fldChar w:fldCharType="begin"/>
                    </w:r>
                    <w:r>
                      <w:rPr>
                        <w:rStyle w:val="19"/>
                        <w:rFonts w:ascii="宋体" w:hAnsi="宋体"/>
                        <w:sz w:val="28"/>
                        <w:szCs w:val="28"/>
                      </w:rPr>
                      <w:instrText xml:space="preserve"> PAGE </w:instrText>
                    </w:r>
                    <w:r>
                      <w:rPr>
                        <w:rFonts w:ascii="宋体" w:hAnsi="宋体"/>
                        <w:sz w:val="28"/>
                        <w:szCs w:val="28"/>
                      </w:rPr>
                      <w:fldChar w:fldCharType="separate"/>
                    </w:r>
                    <w:r>
                      <w:rPr>
                        <w:rStyle w:val="19"/>
                        <w:rFonts w:ascii="宋体" w:hAnsi="宋体"/>
                        <w:sz w:val="28"/>
                        <w:szCs w:val="28"/>
                      </w:rPr>
                      <w:t>- 3 -</w:t>
                    </w:r>
                    <w:r>
                      <w:rPr>
                        <w:rFonts w:ascii="宋体" w:hAnsi="宋体"/>
                        <w:sz w:val="28"/>
                        <w:szCs w:val="28"/>
                      </w:rPr>
                      <w:fldChar w:fldCharType="end"/>
                    </w:r>
                    <w:r>
                      <w:rPr>
                        <w:rStyle w:val="19"/>
                        <w:rFonts w:hint="eastAsia" w:ascii="宋体" w:hAnsi="宋体"/>
                        <w:sz w:val="28"/>
                        <w:szCs w:val="28"/>
                        <w:lang w:val="en-US" w:eastAsia="zh-CN"/>
                      </w:rPr>
                      <w:t xml:space="preserve"> </w:t>
                    </w:r>
                  </w:p>
                </w:txbxContent>
              </v:textbox>
            </v:shape>
          </w:pict>
        </mc:Fallback>
      </mc:AlternateConten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210" w:leftChars="100"/>
      <w:rPr>
        <w:rStyle w:val="19"/>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28575</wp:posOffset>
              </wp:positionV>
              <wp:extent cx="1103630" cy="258445"/>
              <wp:effectExtent l="0" t="0" r="0" b="0"/>
              <wp:wrapNone/>
              <wp:docPr id="7" name="文本框 18"/>
              <wp:cNvGraphicFramePr/>
              <a:graphic xmlns:a="http://schemas.openxmlformats.org/drawingml/2006/main">
                <a:graphicData uri="http://schemas.microsoft.com/office/word/2010/wordprocessingShape">
                  <wps:wsp>
                    <wps:cNvSpPr txBox="true"/>
                    <wps:spPr>
                      <a:xfrm>
                        <a:off x="0" y="0"/>
                        <a:ext cx="1103630" cy="258445"/>
                      </a:xfrm>
                      <a:prstGeom prst="rect">
                        <a:avLst/>
                      </a:prstGeom>
                      <a:noFill/>
                      <a:ln>
                        <a:noFill/>
                      </a:ln>
                    </wps:spPr>
                    <wps:txbx>
                      <w:txbxContent>
                        <w:p>
                          <w:pPr>
                            <w:pStyle w:val="9"/>
                            <w:ind w:left="210" w:leftChars="100"/>
                          </w:pP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- 2 -</w:t>
                          </w:r>
                          <w:r>
                            <w:rPr>
                              <w:rFonts w:ascii="宋体" w:hAnsi="宋体"/>
                              <w:sz w:val="28"/>
                              <w:szCs w:val="28"/>
                            </w:rPr>
                            <w:fldChar w:fldCharType="end"/>
                          </w:r>
                        </w:p>
                      </w:txbxContent>
                    </wps:txbx>
                    <wps:bodyPr vert="horz" wrap="square" lIns="0" tIns="0" rIns="0" bIns="0" anchor="t" anchorCtr="false" upright="false"/>
                  </wps:wsp>
                </a:graphicData>
              </a:graphic>
            </wp:anchor>
          </w:drawing>
        </mc:Choice>
        <mc:Fallback>
          <w:pict>
            <v:shape id="文本框 18" o:spid="_x0000_s1026" o:spt="202" type="#_x0000_t202" style="position:absolute;left:0pt;margin-top:2.25pt;height:20.35pt;width:86.9pt;mso-position-horizontal:outside;mso-position-horizontal-relative:margin;z-index:251660288;mso-width-relative:page;mso-height-relative:page;" filled="f" stroked="f" coordsize="21600,21600" o:gfxdata="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B7HcM0wAAAAUBAAAPAAAAAAAAAAEA&#10;IAAAADgAAABkcnMvZG93bnJldi54bWxQSwECFAAUAAAACACHTuJAQofUecUBAABjAwAADgAAAAAA&#10;AAABACAAAAA4AQAAZHJzL2Uyb0RvYy54bWxQSwUGAAAAAAYABgBZAQAAbwUAAAAA&#10;">
              <v:fill on="f" focussize="0,0"/>
              <v:stroke on="f"/>
              <v:imagedata o:title=""/>
              <o:lock v:ext="edit" aspectratio="f"/>
              <v:textbox inset="0mm,0mm,0mm,0mm">
                <w:txbxContent>
                  <w:p>
                    <w:pPr>
                      <w:pStyle w:val="9"/>
                      <w:ind w:left="210" w:leftChars="100"/>
                    </w:pPr>
                    <w:r>
                      <w:rPr>
                        <w:rFonts w:ascii="宋体" w:hAnsi="宋体"/>
                        <w:sz w:val="28"/>
                        <w:szCs w:val="28"/>
                      </w:rPr>
                      <w:fldChar w:fldCharType="begin"/>
                    </w:r>
                    <w:r>
                      <w:rPr>
                        <w:rStyle w:val="19"/>
                        <w:rFonts w:ascii="宋体" w:hAnsi="宋体"/>
                        <w:sz w:val="28"/>
                        <w:szCs w:val="28"/>
                      </w:rPr>
                      <w:instrText xml:space="preserve">PAGE  </w:instrText>
                    </w:r>
                    <w:r>
                      <w:rPr>
                        <w:rFonts w:ascii="宋体" w:hAnsi="宋体"/>
                        <w:sz w:val="28"/>
                        <w:szCs w:val="28"/>
                      </w:rPr>
                      <w:fldChar w:fldCharType="separate"/>
                    </w:r>
                    <w:r>
                      <w:rPr>
                        <w:rStyle w:val="19"/>
                        <w:rFonts w:ascii="宋体" w:hAnsi="宋体"/>
                        <w:sz w:val="28"/>
                        <w:szCs w:val="28"/>
                      </w:rPr>
                      <w:t>- 2 -</w:t>
                    </w:r>
                    <w:r>
                      <w:rPr>
                        <w:rFonts w:ascii="宋体" w:hAnsi="宋体"/>
                        <w:sz w:val="28"/>
                        <w:szCs w:val="28"/>
                      </w:rPr>
                      <w:fldChar w:fldCharType="end"/>
                    </w:r>
                  </w:p>
                </w:txbxContent>
              </v:textbox>
            </v:shape>
          </w:pict>
        </mc:Fallback>
      </mc:AlternateContent>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360"/>
      </w:tabs>
      <w:wordWrap w:val="0"/>
      <w:ind w:right="210" w:rightChars="100" w:firstLine="420" w:firstLineChars="150"/>
      <w:jc w:val="right"/>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9"/>
                            <w:tabs>
                              <w:tab w:val="left" w:pos="360"/>
                            </w:tabs>
                            <w:wordWrap w:val="0"/>
                            <w:ind w:right="210" w:rightChars="100" w:firstLine="420" w:firstLineChars="150"/>
                            <w:jc w:val="right"/>
                          </w:pPr>
                          <w:r>
                            <w:rPr>
                              <w:rFonts w:ascii="宋体" w:hAnsi="宋体"/>
                              <w:sz w:val="28"/>
                              <w:szCs w:val="28"/>
                            </w:rPr>
                            <w:fldChar w:fldCharType="begin"/>
                          </w:r>
                          <w:r>
                            <w:rPr>
                              <w:rStyle w:val="19"/>
                              <w:rFonts w:ascii="宋体" w:hAnsi="宋体"/>
                              <w:sz w:val="28"/>
                              <w:szCs w:val="28"/>
                            </w:rPr>
                            <w:instrText xml:space="preserve"> PAGE </w:instrText>
                          </w:r>
                          <w:r>
                            <w:rPr>
                              <w:rFonts w:ascii="宋体" w:hAnsi="宋体"/>
                              <w:sz w:val="28"/>
                              <w:szCs w:val="28"/>
                            </w:rPr>
                            <w:fldChar w:fldCharType="separate"/>
                          </w:r>
                          <w:r>
                            <w:rPr>
                              <w:rStyle w:val="19"/>
                              <w:rFonts w:ascii="宋体" w:hAnsi="宋体"/>
                              <w:sz w:val="28"/>
                              <w:szCs w:val="28"/>
                            </w:rPr>
                            <w:t>- 1 -</w:t>
                          </w:r>
                          <w:r>
                            <w:rPr>
                              <w:rFonts w:ascii="宋体" w:hAnsi="宋体"/>
                              <w:sz w:val="28"/>
                              <w:szCs w:val="28"/>
                            </w:rPr>
                            <w:fldChar w:fldCharType="end"/>
                          </w:r>
                        </w:p>
                      </w:txbxContent>
                    </wps:txbx>
                    <wps:bodyPr wrap="none" lIns="0" tIns="0" rIns="0" bIns="0" upright="false">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YO0MJ7QBAABTAwAADgAAAAAAAAABACAAAAA0AQAAZHJzL2Uyb0Rv&#10;Yy54bWxQSwUGAAAAAAYABgBZAQAAWgUAAAAA&#10;">
              <v:fill on="f" focussize="0,0"/>
              <v:stroke on="f"/>
              <v:imagedata o:title=""/>
              <o:lock v:ext="edit" aspectratio="f"/>
              <v:textbox inset="0mm,0mm,0mm,0mm" style="mso-fit-shape-to-text:t;">
                <w:txbxContent>
                  <w:p>
                    <w:pPr>
                      <w:pStyle w:val="9"/>
                      <w:tabs>
                        <w:tab w:val="left" w:pos="360"/>
                      </w:tabs>
                      <w:wordWrap w:val="0"/>
                      <w:ind w:right="210" w:rightChars="100" w:firstLine="420" w:firstLineChars="150"/>
                      <w:jc w:val="right"/>
                    </w:pPr>
                    <w:r>
                      <w:rPr>
                        <w:rFonts w:ascii="宋体" w:hAnsi="宋体"/>
                        <w:sz w:val="28"/>
                        <w:szCs w:val="28"/>
                      </w:rPr>
                      <w:fldChar w:fldCharType="begin"/>
                    </w:r>
                    <w:r>
                      <w:rPr>
                        <w:rStyle w:val="19"/>
                        <w:rFonts w:ascii="宋体" w:hAnsi="宋体"/>
                        <w:sz w:val="28"/>
                        <w:szCs w:val="28"/>
                      </w:rPr>
                      <w:instrText xml:space="preserve"> PAGE </w:instrText>
                    </w:r>
                    <w:r>
                      <w:rPr>
                        <w:rFonts w:ascii="宋体" w:hAnsi="宋体"/>
                        <w:sz w:val="28"/>
                        <w:szCs w:val="28"/>
                      </w:rPr>
                      <w:fldChar w:fldCharType="separate"/>
                    </w:r>
                    <w:r>
                      <w:rPr>
                        <w:rStyle w:val="19"/>
                        <w:rFonts w:ascii="宋体" w:hAnsi="宋体"/>
                        <w:sz w:val="28"/>
                        <w:szCs w:val="28"/>
                      </w:rPr>
                      <w:t>- 1 -</w:t>
                    </w:r>
                    <w:r>
                      <w:rPr>
                        <w:rFonts w:ascii="宋体" w:hAnsi="宋体"/>
                        <w:sz w:val="28"/>
                        <w:szCs w:val="28"/>
                      </w:rPr>
                      <w:fldChar w:fldCharType="end"/>
                    </w:r>
                  </w:p>
                </w:txbxContent>
              </v:textbox>
            </v:shape>
          </w:pict>
        </mc:Fallback>
      </mc:AlternateContent>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0"/>
                            <w:rPr>
                              <w:rFonts w:hint="eastAsia" w:eastAsia="宋体"/>
                              <w:lang w:eastAsia="zh-CN"/>
                            </w:rPr>
                          </w:pPr>
                        </w:p>
                      </w:txbxContent>
                    </wps:txbx>
                    <wps:bodyPr vert="horz" wrap="none" lIns="0" tIns="0" rIns="0" bIns="0" anchor="t" anchorCtr="false" upright="false">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C8Ik6skBAAB7AwAADgAAAAAA&#10;AAABACAAAAA0AQAAZHJzL2Uyb0RvYy54bWxQSwUGAAAAAAYABgBZAQAAbwUAAAAA&#10;">
              <v:fill on="f" focussize="0,0"/>
              <v:stroke on="f"/>
              <v:imagedata o:title=""/>
              <o:lock v:ext="edit" aspectratio="f"/>
              <v:textbox inset="0mm,0mm,0mm,0mm" style="mso-fit-shape-to-text:t;">
                <w:txbxContent>
                  <w:p>
                    <w:pPr>
                      <w:pStyle w:val="10"/>
                      <w:rPr>
                        <w:rFonts w:hint="eastAsia" w:eastAsia="宋体"/>
                        <w:lang w:eastAsia="zh-CN"/>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hyphenationZone w:val="360"/>
  <w:evenAndOddHeaders w:val="true"/>
  <w:drawingGridHorizontalSpacing w:val="210"/>
  <w:drawingGridVerticalSpacing w:val="206"/>
  <w:displayHorizontalDrawingGridEvery w:val="1"/>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applyBreakingRu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622"/>
    <w:rsid w:val="0000063C"/>
    <w:rsid w:val="00002AC5"/>
    <w:rsid w:val="00004A2A"/>
    <w:rsid w:val="000146D1"/>
    <w:rsid w:val="00020A1E"/>
    <w:rsid w:val="000216C3"/>
    <w:rsid w:val="000225D2"/>
    <w:rsid w:val="000257BF"/>
    <w:rsid w:val="00025C1A"/>
    <w:rsid w:val="00042B54"/>
    <w:rsid w:val="000452AC"/>
    <w:rsid w:val="00056596"/>
    <w:rsid w:val="00061E52"/>
    <w:rsid w:val="00063DD7"/>
    <w:rsid w:val="00064DD2"/>
    <w:rsid w:val="00065960"/>
    <w:rsid w:val="000821C7"/>
    <w:rsid w:val="000837F0"/>
    <w:rsid w:val="00084FA9"/>
    <w:rsid w:val="00086FBB"/>
    <w:rsid w:val="00087A9D"/>
    <w:rsid w:val="0009257D"/>
    <w:rsid w:val="0009355A"/>
    <w:rsid w:val="000961AE"/>
    <w:rsid w:val="00096273"/>
    <w:rsid w:val="000A1123"/>
    <w:rsid w:val="000B0DD4"/>
    <w:rsid w:val="000B374A"/>
    <w:rsid w:val="000B3B19"/>
    <w:rsid w:val="000B5D9A"/>
    <w:rsid w:val="000B65DB"/>
    <w:rsid w:val="000C4316"/>
    <w:rsid w:val="000C5120"/>
    <w:rsid w:val="000C5A52"/>
    <w:rsid w:val="000C7858"/>
    <w:rsid w:val="000D7DB3"/>
    <w:rsid w:val="000E67BD"/>
    <w:rsid w:val="001148BE"/>
    <w:rsid w:val="001206CA"/>
    <w:rsid w:val="0012492B"/>
    <w:rsid w:val="001471DF"/>
    <w:rsid w:val="001546FE"/>
    <w:rsid w:val="00176461"/>
    <w:rsid w:val="00186793"/>
    <w:rsid w:val="001868A2"/>
    <w:rsid w:val="0019172B"/>
    <w:rsid w:val="0019459B"/>
    <w:rsid w:val="001960EF"/>
    <w:rsid w:val="00196724"/>
    <w:rsid w:val="001A4222"/>
    <w:rsid w:val="001A7B9F"/>
    <w:rsid w:val="001B1F26"/>
    <w:rsid w:val="001B2360"/>
    <w:rsid w:val="001C08BC"/>
    <w:rsid w:val="001C0C74"/>
    <w:rsid w:val="001C3BB2"/>
    <w:rsid w:val="001C4567"/>
    <w:rsid w:val="001C7B31"/>
    <w:rsid w:val="001D3E5A"/>
    <w:rsid w:val="001E36EC"/>
    <w:rsid w:val="001F0584"/>
    <w:rsid w:val="001F298C"/>
    <w:rsid w:val="001F6674"/>
    <w:rsid w:val="00203CF7"/>
    <w:rsid w:val="00206799"/>
    <w:rsid w:val="0021770A"/>
    <w:rsid w:val="00223B01"/>
    <w:rsid w:val="00226A9C"/>
    <w:rsid w:val="002335D2"/>
    <w:rsid w:val="00241A2F"/>
    <w:rsid w:val="002424BE"/>
    <w:rsid w:val="002451EB"/>
    <w:rsid w:val="00246448"/>
    <w:rsid w:val="00250993"/>
    <w:rsid w:val="002551BA"/>
    <w:rsid w:val="00263378"/>
    <w:rsid w:val="0026421B"/>
    <w:rsid w:val="00272D0D"/>
    <w:rsid w:val="00273AA4"/>
    <w:rsid w:val="00273D7F"/>
    <w:rsid w:val="00285F23"/>
    <w:rsid w:val="00290B1F"/>
    <w:rsid w:val="00292712"/>
    <w:rsid w:val="0029434C"/>
    <w:rsid w:val="002A4CB7"/>
    <w:rsid w:val="002A5DF6"/>
    <w:rsid w:val="002C5E2D"/>
    <w:rsid w:val="002C6590"/>
    <w:rsid w:val="002C7E33"/>
    <w:rsid w:val="002D325E"/>
    <w:rsid w:val="002E1167"/>
    <w:rsid w:val="002F70B0"/>
    <w:rsid w:val="00300229"/>
    <w:rsid w:val="0030491B"/>
    <w:rsid w:val="003058D9"/>
    <w:rsid w:val="003102C3"/>
    <w:rsid w:val="00314095"/>
    <w:rsid w:val="00317B3E"/>
    <w:rsid w:val="00322C7F"/>
    <w:rsid w:val="0032321B"/>
    <w:rsid w:val="00325A02"/>
    <w:rsid w:val="00331A60"/>
    <w:rsid w:val="003431AC"/>
    <w:rsid w:val="0036231D"/>
    <w:rsid w:val="00367278"/>
    <w:rsid w:val="003723CC"/>
    <w:rsid w:val="003813EE"/>
    <w:rsid w:val="0038234C"/>
    <w:rsid w:val="00384245"/>
    <w:rsid w:val="00390B29"/>
    <w:rsid w:val="00397619"/>
    <w:rsid w:val="00397BCF"/>
    <w:rsid w:val="003A1F25"/>
    <w:rsid w:val="003A4EE6"/>
    <w:rsid w:val="003B0740"/>
    <w:rsid w:val="003B2EE8"/>
    <w:rsid w:val="003D702F"/>
    <w:rsid w:val="003D74D7"/>
    <w:rsid w:val="003F1C19"/>
    <w:rsid w:val="003F391A"/>
    <w:rsid w:val="003F4119"/>
    <w:rsid w:val="004023E0"/>
    <w:rsid w:val="00405238"/>
    <w:rsid w:val="004053FF"/>
    <w:rsid w:val="00425BF1"/>
    <w:rsid w:val="0043004E"/>
    <w:rsid w:val="00436568"/>
    <w:rsid w:val="00436DEE"/>
    <w:rsid w:val="004402DD"/>
    <w:rsid w:val="0046764F"/>
    <w:rsid w:val="004827F4"/>
    <w:rsid w:val="004831E5"/>
    <w:rsid w:val="00497D30"/>
    <w:rsid w:val="004A0B62"/>
    <w:rsid w:val="004B1DB8"/>
    <w:rsid w:val="004D0EF5"/>
    <w:rsid w:val="004D29E5"/>
    <w:rsid w:val="004F190E"/>
    <w:rsid w:val="004F382F"/>
    <w:rsid w:val="00501CB3"/>
    <w:rsid w:val="00505EC0"/>
    <w:rsid w:val="0051473D"/>
    <w:rsid w:val="00520A31"/>
    <w:rsid w:val="00520B5B"/>
    <w:rsid w:val="00536ED7"/>
    <w:rsid w:val="00547BE7"/>
    <w:rsid w:val="005548CB"/>
    <w:rsid w:val="005648EF"/>
    <w:rsid w:val="00564DDD"/>
    <w:rsid w:val="0056769F"/>
    <w:rsid w:val="00570E92"/>
    <w:rsid w:val="00573354"/>
    <w:rsid w:val="005735BA"/>
    <w:rsid w:val="005908F7"/>
    <w:rsid w:val="00595004"/>
    <w:rsid w:val="005A6D96"/>
    <w:rsid w:val="005A7B6D"/>
    <w:rsid w:val="005B3F6E"/>
    <w:rsid w:val="005B7584"/>
    <w:rsid w:val="005D393C"/>
    <w:rsid w:val="005E1E8A"/>
    <w:rsid w:val="005E51C4"/>
    <w:rsid w:val="005F0AFF"/>
    <w:rsid w:val="005F2409"/>
    <w:rsid w:val="005F5D07"/>
    <w:rsid w:val="0061214B"/>
    <w:rsid w:val="00613D3C"/>
    <w:rsid w:val="0061446C"/>
    <w:rsid w:val="00617200"/>
    <w:rsid w:val="006446E8"/>
    <w:rsid w:val="00646DEA"/>
    <w:rsid w:val="00654FE6"/>
    <w:rsid w:val="00665EB3"/>
    <w:rsid w:val="006722B1"/>
    <w:rsid w:val="00672850"/>
    <w:rsid w:val="006752AC"/>
    <w:rsid w:val="0067691C"/>
    <w:rsid w:val="00690981"/>
    <w:rsid w:val="006A41F4"/>
    <w:rsid w:val="006B180A"/>
    <w:rsid w:val="006B4FE5"/>
    <w:rsid w:val="006C4A70"/>
    <w:rsid w:val="006D4676"/>
    <w:rsid w:val="006E2C03"/>
    <w:rsid w:val="006E552E"/>
    <w:rsid w:val="006E5CF7"/>
    <w:rsid w:val="006E6B9C"/>
    <w:rsid w:val="006F06ED"/>
    <w:rsid w:val="00703558"/>
    <w:rsid w:val="00704957"/>
    <w:rsid w:val="00714633"/>
    <w:rsid w:val="007147FB"/>
    <w:rsid w:val="007351EE"/>
    <w:rsid w:val="0073677D"/>
    <w:rsid w:val="00740D9C"/>
    <w:rsid w:val="00741A57"/>
    <w:rsid w:val="00744571"/>
    <w:rsid w:val="00745D88"/>
    <w:rsid w:val="00746182"/>
    <w:rsid w:val="00753B41"/>
    <w:rsid w:val="00753CE5"/>
    <w:rsid w:val="007579FC"/>
    <w:rsid w:val="00760C78"/>
    <w:rsid w:val="007618EA"/>
    <w:rsid w:val="007703AC"/>
    <w:rsid w:val="00772394"/>
    <w:rsid w:val="0077274A"/>
    <w:rsid w:val="00775AF9"/>
    <w:rsid w:val="007775DE"/>
    <w:rsid w:val="00780736"/>
    <w:rsid w:val="007835B2"/>
    <w:rsid w:val="00791449"/>
    <w:rsid w:val="007950B1"/>
    <w:rsid w:val="00796FF2"/>
    <w:rsid w:val="007A23F4"/>
    <w:rsid w:val="007A3603"/>
    <w:rsid w:val="007B68FE"/>
    <w:rsid w:val="007C2716"/>
    <w:rsid w:val="007D1008"/>
    <w:rsid w:val="007E376B"/>
    <w:rsid w:val="007E5D92"/>
    <w:rsid w:val="0080107E"/>
    <w:rsid w:val="00805BB2"/>
    <w:rsid w:val="00815BC7"/>
    <w:rsid w:val="00816136"/>
    <w:rsid w:val="00822B96"/>
    <w:rsid w:val="00832090"/>
    <w:rsid w:val="00835464"/>
    <w:rsid w:val="00836993"/>
    <w:rsid w:val="00846456"/>
    <w:rsid w:val="00861668"/>
    <w:rsid w:val="00866033"/>
    <w:rsid w:val="00882377"/>
    <w:rsid w:val="00884A0B"/>
    <w:rsid w:val="00891A59"/>
    <w:rsid w:val="008A1EA4"/>
    <w:rsid w:val="008A632D"/>
    <w:rsid w:val="008B2CE1"/>
    <w:rsid w:val="008B3DAC"/>
    <w:rsid w:val="008C3D05"/>
    <w:rsid w:val="008D2342"/>
    <w:rsid w:val="008D4B80"/>
    <w:rsid w:val="008D5558"/>
    <w:rsid w:val="008D6481"/>
    <w:rsid w:val="008E15F4"/>
    <w:rsid w:val="008F4ED9"/>
    <w:rsid w:val="0090062B"/>
    <w:rsid w:val="00906BEA"/>
    <w:rsid w:val="00914D31"/>
    <w:rsid w:val="00923FE9"/>
    <w:rsid w:val="00924D3D"/>
    <w:rsid w:val="0092693C"/>
    <w:rsid w:val="00930B29"/>
    <w:rsid w:val="00932FA6"/>
    <w:rsid w:val="00936D2C"/>
    <w:rsid w:val="009435A9"/>
    <w:rsid w:val="00952457"/>
    <w:rsid w:val="009537AF"/>
    <w:rsid w:val="00962C2D"/>
    <w:rsid w:val="00966947"/>
    <w:rsid w:val="00967EA4"/>
    <w:rsid w:val="00967ED4"/>
    <w:rsid w:val="00970458"/>
    <w:rsid w:val="009837A9"/>
    <w:rsid w:val="009912F4"/>
    <w:rsid w:val="009927D1"/>
    <w:rsid w:val="0099746A"/>
    <w:rsid w:val="009A7E33"/>
    <w:rsid w:val="009B4A64"/>
    <w:rsid w:val="009C05C6"/>
    <w:rsid w:val="009C64DE"/>
    <w:rsid w:val="009D2FA4"/>
    <w:rsid w:val="009D794B"/>
    <w:rsid w:val="009D7E37"/>
    <w:rsid w:val="009D7F6B"/>
    <w:rsid w:val="009E1A16"/>
    <w:rsid w:val="009E2E74"/>
    <w:rsid w:val="009F3B8F"/>
    <w:rsid w:val="00A01001"/>
    <w:rsid w:val="00A025EC"/>
    <w:rsid w:val="00A035C2"/>
    <w:rsid w:val="00A04DE7"/>
    <w:rsid w:val="00A05CEC"/>
    <w:rsid w:val="00A06F8C"/>
    <w:rsid w:val="00A140D3"/>
    <w:rsid w:val="00A249C7"/>
    <w:rsid w:val="00A26DE0"/>
    <w:rsid w:val="00A30407"/>
    <w:rsid w:val="00A53862"/>
    <w:rsid w:val="00A54B4D"/>
    <w:rsid w:val="00A54D25"/>
    <w:rsid w:val="00A56C2D"/>
    <w:rsid w:val="00A62EE6"/>
    <w:rsid w:val="00A64C60"/>
    <w:rsid w:val="00A67BDD"/>
    <w:rsid w:val="00A7169E"/>
    <w:rsid w:val="00A731A2"/>
    <w:rsid w:val="00A774B3"/>
    <w:rsid w:val="00A904C6"/>
    <w:rsid w:val="00A90AF9"/>
    <w:rsid w:val="00A95B12"/>
    <w:rsid w:val="00AA130C"/>
    <w:rsid w:val="00AA1B5C"/>
    <w:rsid w:val="00AA374E"/>
    <w:rsid w:val="00AB12AD"/>
    <w:rsid w:val="00AC6F44"/>
    <w:rsid w:val="00AE0435"/>
    <w:rsid w:val="00AE1293"/>
    <w:rsid w:val="00AE2479"/>
    <w:rsid w:val="00AE45F0"/>
    <w:rsid w:val="00AF0A73"/>
    <w:rsid w:val="00AF498D"/>
    <w:rsid w:val="00B120D5"/>
    <w:rsid w:val="00B16A06"/>
    <w:rsid w:val="00B2046F"/>
    <w:rsid w:val="00B21DAA"/>
    <w:rsid w:val="00B300E5"/>
    <w:rsid w:val="00B31B6F"/>
    <w:rsid w:val="00B34633"/>
    <w:rsid w:val="00B352EB"/>
    <w:rsid w:val="00B41080"/>
    <w:rsid w:val="00B50607"/>
    <w:rsid w:val="00B51138"/>
    <w:rsid w:val="00B51B5D"/>
    <w:rsid w:val="00B52AD2"/>
    <w:rsid w:val="00B55094"/>
    <w:rsid w:val="00B56A81"/>
    <w:rsid w:val="00B56BE3"/>
    <w:rsid w:val="00B56C54"/>
    <w:rsid w:val="00B67620"/>
    <w:rsid w:val="00B71679"/>
    <w:rsid w:val="00B749B6"/>
    <w:rsid w:val="00B80ED9"/>
    <w:rsid w:val="00B83214"/>
    <w:rsid w:val="00B91FBA"/>
    <w:rsid w:val="00B94EFE"/>
    <w:rsid w:val="00BA04DE"/>
    <w:rsid w:val="00BA0651"/>
    <w:rsid w:val="00BB76C2"/>
    <w:rsid w:val="00BC0E03"/>
    <w:rsid w:val="00BD4094"/>
    <w:rsid w:val="00BD553E"/>
    <w:rsid w:val="00BD660F"/>
    <w:rsid w:val="00BD75B2"/>
    <w:rsid w:val="00BF78BF"/>
    <w:rsid w:val="00C02967"/>
    <w:rsid w:val="00C06E2E"/>
    <w:rsid w:val="00C1269E"/>
    <w:rsid w:val="00C150A4"/>
    <w:rsid w:val="00C207E0"/>
    <w:rsid w:val="00C214D9"/>
    <w:rsid w:val="00C21F39"/>
    <w:rsid w:val="00C22A12"/>
    <w:rsid w:val="00C23D4A"/>
    <w:rsid w:val="00C24658"/>
    <w:rsid w:val="00C2648A"/>
    <w:rsid w:val="00C454F8"/>
    <w:rsid w:val="00C510C5"/>
    <w:rsid w:val="00C538EB"/>
    <w:rsid w:val="00C54F3D"/>
    <w:rsid w:val="00C60196"/>
    <w:rsid w:val="00C70594"/>
    <w:rsid w:val="00C70D70"/>
    <w:rsid w:val="00C757B8"/>
    <w:rsid w:val="00C76031"/>
    <w:rsid w:val="00C766DC"/>
    <w:rsid w:val="00C80054"/>
    <w:rsid w:val="00C855C8"/>
    <w:rsid w:val="00C87677"/>
    <w:rsid w:val="00C87920"/>
    <w:rsid w:val="00C93E1E"/>
    <w:rsid w:val="00C944AF"/>
    <w:rsid w:val="00CC1E73"/>
    <w:rsid w:val="00CC68B2"/>
    <w:rsid w:val="00CD3A58"/>
    <w:rsid w:val="00CD4323"/>
    <w:rsid w:val="00CD5D77"/>
    <w:rsid w:val="00CD7725"/>
    <w:rsid w:val="00CE2957"/>
    <w:rsid w:val="00CE75F5"/>
    <w:rsid w:val="00CF7DE1"/>
    <w:rsid w:val="00D00365"/>
    <w:rsid w:val="00D019D7"/>
    <w:rsid w:val="00D01DFA"/>
    <w:rsid w:val="00D05206"/>
    <w:rsid w:val="00D06FEA"/>
    <w:rsid w:val="00D07A2E"/>
    <w:rsid w:val="00D11F83"/>
    <w:rsid w:val="00D125DE"/>
    <w:rsid w:val="00D16C60"/>
    <w:rsid w:val="00D26008"/>
    <w:rsid w:val="00D32033"/>
    <w:rsid w:val="00D36201"/>
    <w:rsid w:val="00D5337D"/>
    <w:rsid w:val="00D621EF"/>
    <w:rsid w:val="00D66C14"/>
    <w:rsid w:val="00D7590B"/>
    <w:rsid w:val="00D75A10"/>
    <w:rsid w:val="00D767F6"/>
    <w:rsid w:val="00D829D6"/>
    <w:rsid w:val="00D90118"/>
    <w:rsid w:val="00D968E2"/>
    <w:rsid w:val="00DC386F"/>
    <w:rsid w:val="00DC72A7"/>
    <w:rsid w:val="00DD430A"/>
    <w:rsid w:val="00DD4696"/>
    <w:rsid w:val="00DE16B4"/>
    <w:rsid w:val="00DE243A"/>
    <w:rsid w:val="00DF107B"/>
    <w:rsid w:val="00DF47E3"/>
    <w:rsid w:val="00E12288"/>
    <w:rsid w:val="00E16517"/>
    <w:rsid w:val="00E16B5E"/>
    <w:rsid w:val="00E17B38"/>
    <w:rsid w:val="00E2537B"/>
    <w:rsid w:val="00E40AC1"/>
    <w:rsid w:val="00E410E5"/>
    <w:rsid w:val="00E41ED3"/>
    <w:rsid w:val="00E452DD"/>
    <w:rsid w:val="00E5378E"/>
    <w:rsid w:val="00E658D3"/>
    <w:rsid w:val="00E66909"/>
    <w:rsid w:val="00E80F4B"/>
    <w:rsid w:val="00E850CF"/>
    <w:rsid w:val="00E91DBA"/>
    <w:rsid w:val="00E96683"/>
    <w:rsid w:val="00E973D5"/>
    <w:rsid w:val="00E976FD"/>
    <w:rsid w:val="00EA6578"/>
    <w:rsid w:val="00EC4903"/>
    <w:rsid w:val="00EC7DD8"/>
    <w:rsid w:val="00ED712C"/>
    <w:rsid w:val="00EE2B16"/>
    <w:rsid w:val="00EE52D6"/>
    <w:rsid w:val="00EF1D51"/>
    <w:rsid w:val="00EF4778"/>
    <w:rsid w:val="00F00D7A"/>
    <w:rsid w:val="00F13C5A"/>
    <w:rsid w:val="00F2116F"/>
    <w:rsid w:val="00F232C0"/>
    <w:rsid w:val="00F2460A"/>
    <w:rsid w:val="00F327D2"/>
    <w:rsid w:val="00F350E6"/>
    <w:rsid w:val="00F35294"/>
    <w:rsid w:val="00F37A85"/>
    <w:rsid w:val="00F543D5"/>
    <w:rsid w:val="00F614E7"/>
    <w:rsid w:val="00F74A95"/>
    <w:rsid w:val="00F8477D"/>
    <w:rsid w:val="00F8759B"/>
    <w:rsid w:val="00F9332C"/>
    <w:rsid w:val="00FA43F1"/>
    <w:rsid w:val="00FA559A"/>
    <w:rsid w:val="00FA6169"/>
    <w:rsid w:val="00FA65C0"/>
    <w:rsid w:val="00FB45A4"/>
    <w:rsid w:val="00FB608C"/>
    <w:rsid w:val="00FB7F6A"/>
    <w:rsid w:val="00FC599E"/>
    <w:rsid w:val="00FC5D62"/>
    <w:rsid w:val="00FD0622"/>
    <w:rsid w:val="00FD476C"/>
    <w:rsid w:val="00FD5324"/>
    <w:rsid w:val="00FD53E7"/>
    <w:rsid w:val="00FD7914"/>
    <w:rsid w:val="00FE1EFD"/>
    <w:rsid w:val="00FE2902"/>
    <w:rsid w:val="04B67D12"/>
    <w:rsid w:val="05F41503"/>
    <w:rsid w:val="066A64C3"/>
    <w:rsid w:val="07AB3CBC"/>
    <w:rsid w:val="0DF82377"/>
    <w:rsid w:val="122D4690"/>
    <w:rsid w:val="130D18DC"/>
    <w:rsid w:val="135C2BFB"/>
    <w:rsid w:val="14EE163D"/>
    <w:rsid w:val="16D027B3"/>
    <w:rsid w:val="191E2D0A"/>
    <w:rsid w:val="19231372"/>
    <w:rsid w:val="195E6B49"/>
    <w:rsid w:val="1BBD707B"/>
    <w:rsid w:val="259E199C"/>
    <w:rsid w:val="290A1E95"/>
    <w:rsid w:val="29E709C8"/>
    <w:rsid w:val="2BC91225"/>
    <w:rsid w:val="2BF50A31"/>
    <w:rsid w:val="329F502F"/>
    <w:rsid w:val="37F17FEA"/>
    <w:rsid w:val="3D9500FD"/>
    <w:rsid w:val="3E763164"/>
    <w:rsid w:val="41830842"/>
    <w:rsid w:val="476735E1"/>
    <w:rsid w:val="49931B13"/>
    <w:rsid w:val="49C319B0"/>
    <w:rsid w:val="4C6368FD"/>
    <w:rsid w:val="4CCF61B4"/>
    <w:rsid w:val="4CFF4087"/>
    <w:rsid w:val="503A4A61"/>
    <w:rsid w:val="509D56EA"/>
    <w:rsid w:val="51F7362B"/>
    <w:rsid w:val="52C92E1F"/>
    <w:rsid w:val="5AAFEDE8"/>
    <w:rsid w:val="5BF10654"/>
    <w:rsid w:val="5F9C2D78"/>
    <w:rsid w:val="60160E98"/>
    <w:rsid w:val="601C2B39"/>
    <w:rsid w:val="6D7FC2C3"/>
    <w:rsid w:val="71D35B45"/>
    <w:rsid w:val="72643EA6"/>
    <w:rsid w:val="74B9310B"/>
    <w:rsid w:val="78BC67E9"/>
    <w:rsid w:val="78FF3E74"/>
    <w:rsid w:val="7D391DFD"/>
    <w:rsid w:val="7E2F06B0"/>
    <w:rsid w:val="7EF68A21"/>
    <w:rsid w:val="7FAB042C"/>
    <w:rsid w:val="7FFCD5EA"/>
    <w:rsid w:val="ADD9F275"/>
    <w:rsid w:val="CCBC2D19"/>
    <w:rsid w:val="EDCF68CD"/>
    <w:rsid w:val="FFDDBC2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qFormat="1" w:unhideWhenUsed="0"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8"/>
      <w:lang w:val="en-US" w:eastAsia="zh-CN" w:bidi="th-TH"/>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2">
    <w:name w:val="heading 2"/>
    <w:basedOn w:val="1"/>
    <w:next w:val="1"/>
    <w:unhideWhenUsed/>
    <w:qFormat/>
    <w:uiPriority w:val="9"/>
    <w:pPr>
      <w:keepNext/>
      <w:keepLines/>
      <w:ind w:firstLine="643"/>
      <w:outlineLvl w:val="1"/>
    </w:pPr>
    <w:rPr>
      <w:rFonts w:eastAsia="楷体" w:cs="Times New Roman"/>
      <w:b/>
      <w:bCs/>
      <w:szCs w:val="32"/>
    </w:rPr>
  </w:style>
  <w:style w:type="paragraph" w:styleId="4">
    <w:name w:val="heading 3"/>
    <w:basedOn w:val="1"/>
    <w:next w:val="1"/>
    <w:qFormat/>
    <w:uiPriority w:val="9"/>
    <w:pPr>
      <w:spacing w:before="100" w:beforeAutospacing="1" w:after="100" w:afterAutospacing="1"/>
      <w:jc w:val="left"/>
      <w:outlineLvl w:val="2"/>
    </w:pPr>
    <w:rPr>
      <w:rFonts w:ascii="宋体" w:hAnsi="宋体"/>
      <w:b/>
      <w:kern w:val="0"/>
      <w:sz w:val="27"/>
      <w:szCs w:val="27"/>
    </w:rPr>
  </w:style>
  <w:style w:type="character" w:default="1" w:styleId="17">
    <w:name w:val="Default Paragraph Font"/>
    <w:unhideWhenUsed/>
    <w:uiPriority w:val="1"/>
  </w:style>
  <w:style w:type="table" w:default="1" w:styleId="15">
    <w:name w:val="Normal Table"/>
    <w:unhideWhenUsed/>
    <w:qFormat/>
    <w:uiPriority w:val="99"/>
    <w:tblPr>
      <w:tblStyle w:val="15"/>
      <w:tblCellMar>
        <w:top w:w="0" w:type="dxa"/>
        <w:left w:w="108" w:type="dxa"/>
        <w:bottom w:w="0" w:type="dxa"/>
        <w:right w:w="108" w:type="dxa"/>
      </w:tblCellMar>
    </w:tblPr>
  </w:style>
  <w:style w:type="paragraph" w:styleId="5">
    <w:name w:val="Body Text Indent"/>
    <w:basedOn w:val="1"/>
    <w:uiPriority w:val="0"/>
    <w:pPr>
      <w:ind w:firstLine="640" w:firstLineChars="200"/>
    </w:pPr>
    <w:rPr>
      <w:rFonts w:ascii="仿宋_GB2312" w:hAnsi="Times New Roman" w:eastAsia="仿宋_GB2312" w:cs="Times New Roman"/>
      <w:sz w:val="32"/>
      <w:szCs w:val="24"/>
      <w:lang w:bidi="ar-SA"/>
    </w:rPr>
  </w:style>
  <w:style w:type="paragraph" w:styleId="6">
    <w:name w:val="Plain Text"/>
    <w:basedOn w:val="1"/>
    <w:qFormat/>
    <w:uiPriority w:val="0"/>
    <w:pPr>
      <w:widowControl/>
      <w:spacing w:before="100" w:beforeAutospacing="1" w:after="100" w:afterAutospacing="1"/>
      <w:jc w:val="left"/>
    </w:pPr>
    <w:rPr>
      <w:rFonts w:ascii="宋体" w:hAnsi="宋体" w:eastAsia="宋体" w:cs="宋体"/>
      <w:sz w:val="24"/>
    </w:rPr>
  </w:style>
  <w:style w:type="paragraph" w:styleId="7">
    <w:name w:val="Date"/>
    <w:basedOn w:val="1"/>
    <w:next w:val="1"/>
    <w:link w:val="21"/>
    <w:unhideWhenUsed/>
    <w:uiPriority w:val="99"/>
    <w:pPr>
      <w:ind w:left="100" w:leftChars="2500"/>
    </w:pPr>
  </w:style>
  <w:style w:type="paragraph" w:styleId="8">
    <w:name w:val="Balloon Text"/>
    <w:basedOn w:val="1"/>
    <w:semiHidden/>
    <w:uiPriority w:val="0"/>
    <w:rPr>
      <w:sz w:val="18"/>
      <w:szCs w:val="18"/>
    </w:rPr>
  </w:style>
  <w:style w:type="paragraph" w:styleId="9">
    <w:name w:val="footer"/>
    <w:basedOn w:val="1"/>
    <w:link w:val="22"/>
    <w:unhideWhenUsed/>
    <w:uiPriority w:val="99"/>
    <w:pPr>
      <w:tabs>
        <w:tab w:val="center" w:pos="4153"/>
        <w:tab w:val="right" w:pos="8306"/>
      </w:tabs>
      <w:snapToGrid w:val="0"/>
      <w:jc w:val="left"/>
    </w:pPr>
    <w:rPr>
      <w:sz w:val="18"/>
      <w:szCs w:val="22"/>
    </w:rPr>
  </w:style>
  <w:style w:type="paragraph" w:styleId="10">
    <w:name w:val="header"/>
    <w:basedOn w:val="1"/>
    <w:link w:val="23"/>
    <w:unhideWhenUsed/>
    <w:uiPriority w:val="99"/>
    <w:pPr>
      <w:pBdr>
        <w:bottom w:val="single" w:color="auto" w:sz="6" w:space="1"/>
      </w:pBdr>
      <w:tabs>
        <w:tab w:val="center" w:pos="4153"/>
        <w:tab w:val="right" w:pos="8306"/>
      </w:tabs>
      <w:snapToGrid w:val="0"/>
      <w:jc w:val="center"/>
    </w:pPr>
    <w:rPr>
      <w:sz w:val="18"/>
      <w:szCs w:val="22"/>
    </w:rPr>
  </w:style>
  <w:style w:type="paragraph" w:styleId="11">
    <w:name w:val="toc 1"/>
    <w:basedOn w:val="1"/>
    <w:next w:val="1"/>
    <w:unhideWhenUsed/>
    <w:qFormat/>
    <w:uiPriority w:val="39"/>
    <w:pPr>
      <w:widowControl/>
      <w:spacing w:after="100" w:line="276" w:lineRule="auto"/>
      <w:jc w:val="left"/>
    </w:pPr>
    <w:rPr>
      <w:kern w:val="0"/>
      <w:sz w:val="22"/>
    </w:rPr>
  </w:style>
  <w:style w:type="paragraph" w:styleId="12">
    <w:name w:val="table of figures"/>
    <w:basedOn w:val="1"/>
    <w:next w:val="1"/>
    <w:qFormat/>
    <w:uiPriority w:val="99"/>
    <w:pPr>
      <w:ind w:left="200" w:leftChars="200" w:hanging="200" w:hangingChars="200"/>
    </w:pPr>
    <w:rPr>
      <w:rFonts w:ascii="仿宋" w:hAnsi="仿宋"/>
      <w:szCs w:val="28"/>
    </w:rPr>
  </w:style>
  <w:style w:type="paragraph" w:styleId="13">
    <w:name w:val="toc 2"/>
    <w:basedOn w:val="1"/>
    <w:next w:val="1"/>
    <w:unhideWhenUsed/>
    <w:qFormat/>
    <w:uiPriority w:val="39"/>
    <w:pPr>
      <w:widowControl/>
      <w:spacing w:after="100" w:line="276" w:lineRule="auto"/>
      <w:ind w:left="220"/>
      <w:jc w:val="left"/>
    </w:pPr>
    <w:rPr>
      <w:kern w:val="0"/>
      <w:sz w:val="22"/>
    </w:rPr>
  </w:style>
  <w:style w:type="paragraph" w:styleId="14">
    <w:name w:val="Normal (Web)"/>
    <w:basedOn w:val="1"/>
    <w:qFormat/>
    <w:uiPriority w:val="99"/>
    <w:pPr>
      <w:widowControl/>
      <w:spacing w:before="100" w:beforeAutospacing="1" w:after="100" w:afterAutospacing="1"/>
      <w:jc w:val="left"/>
    </w:pPr>
    <w:rPr>
      <w:rFonts w:ascii="宋体" w:hAnsi="宋体" w:cs="Times New Roman"/>
      <w:kern w:val="0"/>
      <w:sz w:val="24"/>
      <w:szCs w:val="24"/>
      <w:lang w:bidi="ar-SA"/>
    </w:rPr>
  </w:style>
  <w:style w:type="table" w:styleId="16">
    <w:name w:val="Table Grid"/>
    <w:basedOn w:val="15"/>
    <w:qFormat/>
    <w:uiPriority w:val="0"/>
    <w:pPr>
      <w:widowControl w:val="0"/>
      <w:jc w:val="both"/>
    </w:pPr>
    <w:tblPr>
      <w:tblStyle w:val="1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22"/>
    <w:rPr>
      <w:rFonts w:eastAsia="仿宋_GB2312"/>
      <w:b/>
      <w:bCs/>
      <w:sz w:val="32"/>
      <w:szCs w:val="20"/>
    </w:rPr>
  </w:style>
  <w:style w:type="character" w:styleId="19">
    <w:name w:val="page number"/>
    <w:basedOn w:val="17"/>
    <w:uiPriority w:val="0"/>
  </w:style>
  <w:style w:type="character" w:styleId="20">
    <w:name w:val="Hyperlink"/>
    <w:basedOn w:val="17"/>
    <w:unhideWhenUsed/>
    <w:qFormat/>
    <w:uiPriority w:val="99"/>
    <w:rPr>
      <w:color w:val="0000FF"/>
      <w:u w:val="single"/>
    </w:rPr>
  </w:style>
  <w:style w:type="character" w:customStyle="1" w:styleId="21">
    <w:name w:val="日期 Char"/>
    <w:basedOn w:val="17"/>
    <w:link w:val="7"/>
    <w:semiHidden/>
    <w:uiPriority w:val="99"/>
    <w:rPr>
      <w:kern w:val="2"/>
      <w:sz w:val="21"/>
      <w:szCs w:val="28"/>
    </w:rPr>
  </w:style>
  <w:style w:type="character" w:customStyle="1" w:styleId="22">
    <w:name w:val="页脚 Char"/>
    <w:basedOn w:val="17"/>
    <w:link w:val="9"/>
    <w:qFormat/>
    <w:uiPriority w:val="99"/>
    <w:rPr>
      <w:sz w:val="18"/>
      <w:szCs w:val="22"/>
    </w:rPr>
  </w:style>
  <w:style w:type="character" w:customStyle="1" w:styleId="23">
    <w:name w:val="页眉 Char"/>
    <w:basedOn w:val="17"/>
    <w:link w:val="10"/>
    <w:semiHidden/>
    <w:uiPriority w:val="99"/>
    <w:rPr>
      <w:sz w:val="18"/>
      <w:szCs w:val="22"/>
    </w:rPr>
  </w:style>
  <w:style w:type="character" w:customStyle="1" w:styleId="24">
    <w:name w:val="方案正文 Char"/>
    <w:link w:val="25"/>
    <w:locked/>
    <w:uiPriority w:val="99"/>
    <w:rPr>
      <w:rFonts w:ascii="仿宋" w:hAnsi="仿宋" w:eastAsia="仿宋"/>
      <w:kern w:val="2"/>
      <w:sz w:val="28"/>
      <w:szCs w:val="28"/>
    </w:rPr>
  </w:style>
  <w:style w:type="paragraph" w:customStyle="1" w:styleId="25">
    <w:name w:val="方案正文"/>
    <w:basedOn w:val="1"/>
    <w:link w:val="24"/>
    <w:uiPriority w:val="99"/>
    <w:pPr>
      <w:ind w:firstLine="200" w:firstLineChars="200"/>
    </w:pPr>
    <w:rPr>
      <w:rFonts w:ascii="仿宋" w:hAnsi="仿宋" w:eastAsia="仿宋" w:cs="Times New Roman"/>
      <w:sz w:val="28"/>
      <w:lang w:bidi="ar-SA"/>
    </w:rPr>
  </w:style>
  <w:style w:type="character" w:customStyle="1" w:styleId="26">
    <w:name w:val="15"/>
    <w:basedOn w:val="17"/>
    <w:qFormat/>
    <w:uiPriority w:val="0"/>
    <w:rPr>
      <w:rFonts w:ascii="Times New Roman" w:hAnsi="Times New Roman" w:eastAsia="楷体_GB2312" w:cs="Times New Roman"/>
      <w:sz w:val="32"/>
      <w:szCs w:val="32"/>
    </w:rPr>
  </w:style>
  <w:style w:type="paragraph" w:styleId="27">
    <w:name w:val="No Spacing"/>
    <w:qFormat/>
    <w:uiPriority w:val="1"/>
    <w:rPr>
      <w:rFonts w:ascii="Calibri" w:hAnsi="Calibri" w:eastAsia="宋体" w:cs="Times New Roman"/>
      <w:sz w:val="22"/>
      <w:szCs w:val="22"/>
      <w:lang w:val="en-US" w:eastAsia="zh-CN" w:bidi="ar-SA"/>
    </w:rPr>
  </w:style>
  <w:style w:type="paragraph" w:customStyle="1" w:styleId="28">
    <w:name w:val="图表名00"/>
    <w:basedOn w:val="1"/>
    <w:next w:val="12"/>
    <w:qFormat/>
    <w:uiPriority w:val="0"/>
    <w:pPr>
      <w:jc w:val="center"/>
    </w:pPr>
    <w:rPr>
      <w:rFonts w:ascii="仿宋" w:hAnsi="仿宋"/>
      <w:b/>
      <w:iCs/>
      <w:szCs w:val="28"/>
    </w:rPr>
  </w:style>
  <w:style w:type="paragraph" w:customStyle="1" w:styleId="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0">
    <w:name w:val="表格内容"/>
    <w:basedOn w:val="1"/>
    <w:qFormat/>
    <w:uiPriority w:val="0"/>
    <w:pPr>
      <w:adjustRightInd w:val="0"/>
      <w:snapToGrid w:val="0"/>
    </w:pPr>
    <w:rPr>
      <w:rFonts w:ascii="Times New Roman" w:hAnsi="Times New Roman" w:eastAsia="宋体" w:cs="Times New Roman"/>
      <w:szCs w:val="21"/>
    </w:rPr>
  </w:style>
  <w:style w:type="paragraph" w:customStyle="1" w:styleId="31">
    <w:name w:val="Char Char Char Char Char Char"/>
    <w:basedOn w:val="1"/>
    <w:uiPriority w:val="0"/>
    <w:pPr>
      <w:widowControl/>
      <w:spacing w:after="160" w:line="240" w:lineRule="exact"/>
      <w:jc w:val="left"/>
    </w:pPr>
    <w:rPr>
      <w:rFonts w:ascii="Verdana" w:hAnsi="Verdana" w:cs="Times New Roman"/>
      <w:kern w:val="0"/>
      <w:sz w:val="20"/>
      <w:szCs w:val="20"/>
      <w:lang w:eastAsia="en-US" w:bidi="ar-SA"/>
    </w:rPr>
  </w:style>
  <w:style w:type="paragraph" w:customStyle="1" w:styleId="32">
    <w:name w:val="Char1"/>
    <w:basedOn w:val="1"/>
    <w:uiPriority w:val="0"/>
    <w:rPr>
      <w:rFonts w:ascii="Times New Roman" w:hAnsi="Times New Roman" w:eastAsia="仿宋_GB2312" w:cs="Times New Roman"/>
      <w:sz w:val="32"/>
      <w:szCs w:val="20"/>
      <w:lang w:bidi="ar-SA"/>
    </w:rPr>
  </w:style>
  <w:style w:type="paragraph" w:customStyle="1" w:styleId="33">
    <w:name w:val="表格首行"/>
    <w:basedOn w:val="34"/>
    <w:qFormat/>
    <w:uiPriority w:val="0"/>
    <w:pPr>
      <w:adjustRightInd w:val="0"/>
      <w:snapToGrid w:val="0"/>
      <w:spacing w:line="240" w:lineRule="auto"/>
      <w:jc w:val="center"/>
    </w:pPr>
    <w:rPr>
      <w:rFonts w:ascii="Times New Roman" w:hAnsi="Times New Roman" w:eastAsia="宋体"/>
      <w:b/>
      <w:sz w:val="21"/>
    </w:rPr>
  </w:style>
  <w:style w:type="paragraph" w:customStyle="1" w:styleId="34">
    <w:name w:val="样式 样式 样式 首行缩进:  2 字符 + 首行缩进:  2 字符 + 首行缩进:  2 字符"/>
    <w:basedOn w:val="1"/>
    <w:qFormat/>
    <w:uiPriority w:val="0"/>
    <w:pPr>
      <w:spacing w:line="360" w:lineRule="auto"/>
    </w:pPr>
    <w:rPr>
      <w:rFonts w:ascii="Arial" w:hAnsi="Arial" w:eastAsia="新宋体" w:cs="宋体"/>
      <w:sz w:val="24"/>
      <w:szCs w:val="20"/>
    </w:rPr>
  </w:style>
  <w:style w:type="paragraph" w:customStyle="1" w:styleId="35">
    <w:name w:val="列出段落2"/>
    <w:basedOn w:val="1"/>
    <w:uiPriority w:val="0"/>
    <w:pPr>
      <w:ind w:firstLine="420" w:firstLineChars="200"/>
    </w:pPr>
    <w:rPr>
      <w:rFonts w:cs="Calibri"/>
      <w:szCs w:val="21"/>
      <w:lang w:bidi="ar-SA"/>
    </w:rPr>
  </w:style>
  <w:style w:type="paragraph" w:customStyle="1" w:styleId="36">
    <w:name w:val=" Char Char Char Char Char Char"/>
    <w:basedOn w:val="1"/>
    <w:uiPriority w:val="0"/>
    <w:pPr>
      <w:widowControl/>
      <w:spacing w:after="160" w:line="240" w:lineRule="exact"/>
      <w:jc w:val="left"/>
    </w:pPr>
    <w:rPr>
      <w:rFonts w:ascii="Verdana" w:hAnsi="Verdana" w:cs="Times New Roman"/>
      <w:kern w:val="0"/>
      <w:sz w:val="20"/>
      <w:szCs w:val="20"/>
      <w:lang w:eastAsia="en-US" w:bidi="ar-SA"/>
    </w:rPr>
  </w:style>
  <w:style w:type="paragraph" w:customStyle="1" w:styleId="37">
    <w:name w:val="p0"/>
    <w:basedOn w:val="1"/>
    <w:uiPriority w:val="0"/>
    <w:pPr>
      <w:widowControl/>
    </w:pPr>
    <w:rPr>
      <w:rFonts w:cs="宋体"/>
      <w:kern w:val="0"/>
      <w:szCs w:val="21"/>
      <w:lang w:bidi="ar-SA"/>
    </w:rPr>
  </w:style>
  <w:style w:type="paragraph" w:customStyle="1" w:styleId="38">
    <w:name w:val="Char Char1 Char Char Char Char Char Char Char Char"/>
    <w:basedOn w:val="1"/>
    <w:next w:val="1"/>
    <w:uiPriority w:val="0"/>
    <w:pPr>
      <w:adjustRightInd w:val="0"/>
      <w:spacing w:after="160" w:line="240" w:lineRule="exact"/>
    </w:pPr>
    <w:rPr>
      <w:rFonts w:ascii="Verdana" w:hAnsi="Verdana" w:cs="Times New Roman"/>
      <w:kern w:val="0"/>
      <w:sz w:val="20"/>
      <w:szCs w:val="20"/>
      <w:lang w:eastAsia="en-US" w:bidi="ar-SA"/>
    </w:rPr>
  </w:style>
  <w:style w:type="paragraph" w:customStyle="1" w:styleId="39">
    <w:name w:val="普通(Web)"/>
    <w:basedOn w:val="1"/>
    <w:qFormat/>
    <w:uiPriority w:val="0"/>
    <w:pPr>
      <w:widowControl/>
      <w:spacing w:before="100" w:beforeAutospacing="1" w:after="100" w:afterAutospacing="1"/>
      <w:jc w:val="left"/>
    </w:pPr>
    <w:rPr>
      <w:rFonts w:ascii="宋体" w:hAnsi="宋体" w:cs="华文新魏"/>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293</Words>
  <Characters>1672</Characters>
  <Lines>13</Lines>
  <Paragraphs>3</Paragraphs>
  <TotalTime>4.66666666666667</TotalTime>
  <ScaleCrop>false</ScaleCrop>
  <LinksUpToDate>false</LinksUpToDate>
  <CharactersWithSpaces>1962</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2018-03-30T16:34:00Z</dcterms:created>
  <dc:creator>wg01</dc:creator>
  <cp:lastModifiedBy>gxxc</cp:lastModifiedBy>
  <cp:lastPrinted>2021-12-10T08:48:42Z</cp:lastPrinted>
  <dcterms:modified xsi:type="dcterms:W3CDTF">2022-01-27T15:22:31Z</dcterms:modified>
  <dc:title>柳州市人民政府2015年刘传林</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