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鲁人社字〔</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57号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山东省人力资源和社会保障厅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关于在企业试行“新八级工”职业技能等级</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制度的通知</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ascii="方正小标宋简体" w:hAnsi="方正小标宋_GBK" w:eastAsia="方正小标宋简体"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各市人力资源社会保障局，省直有关部门，有关企业：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为拓展技能人才职业发展通道，加快推进我省技能人才队伍建设高质量发展，根据《中共中央办公厅国务院办公厅</w:t>
      </w:r>
      <w:r>
        <w:rPr>
          <w:rFonts w:hint="default" w:ascii="仿宋_GB2312" w:hAnsi="仿宋_GB2312" w:eastAsia="仿宋_GB2312" w:cs="仿宋_GB2312"/>
          <w:color w:val="auto"/>
          <w:sz w:val="32"/>
          <w:szCs w:val="32"/>
        </w:rPr>
        <w:t>印发&lt;</w:t>
      </w:r>
      <w:r>
        <w:rPr>
          <w:rFonts w:hint="eastAsia" w:ascii="仿宋_GB2312" w:hAnsi="仿宋_GB2312" w:eastAsia="仿宋_GB2312" w:cs="仿宋_GB2312"/>
          <w:color w:val="auto"/>
          <w:sz w:val="32"/>
          <w:szCs w:val="32"/>
        </w:rPr>
        <w:t>关于加强新时代高技能人才队伍建设的意见</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（中办发</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58</w:t>
      </w:r>
      <w:r>
        <w:rPr>
          <w:rFonts w:hint="eastAsia" w:ascii="仿宋_GB2312" w:hAnsi="仿宋_GB2312" w:eastAsia="仿宋_GB2312" w:cs="仿宋_GB2312"/>
          <w:color w:val="auto"/>
          <w:sz w:val="32"/>
          <w:szCs w:val="32"/>
        </w:rPr>
        <w:t>号</w:t>
      </w:r>
      <w:r>
        <w:rPr>
          <w:rFonts w:hint="default"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《人力资源社会保障部关于健全完善新时代技能人才职业技能等级制度的意见（试行）》（人社部发〔</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号）等有关文件精神，现就在企业试行“新八级工”职业技能等级制度有关事项通知如下：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习近平新时代中国特色社会主义思想为指导，全面贯彻党的二十大精神，深入落实人才强省、技能兴鲁战略部署，推动建立与国家职业资格制度相衔接、与终身职业技能培训制度相适应，并与使用相结合、与待遇相匹配的新时代技能人才职业技能等级制度，充分发挥企业在技能人才培养、使用、评价、激励等方面的主体作用，延伸技能人才成长进步阶梯，引领企业职工走技能成才、技能报国之路，为新时代社会主义现代化强省建设提供有力的人才和技能支撑。</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实施范围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经各级人力资源社会保障部门备案开展技能人才自主评价的企业。特级技师评聘试点应在以技能人员为主体的规模以上企业中实施。首席技师评聘试点应在已开展特级技师评聘工作的企业中实施。优先选择具有行业代表性，拥有核心竞争力，能引领产业技术发展，技能人才培养、评价工作基础扎实的龙头骨干企业，开展特级技师、首席技师评聘试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三、等级（岗位）设置与条件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（一）技能等级（岗位）设置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可结合生产实际和职业（工种）特点，健全技能岗位等级设置。对设有高级技师的职业（工种），可在其上增设特级技师和首席技师，在初级工之下补设学徒工，形成由学徒工、初级工、中级工、高级工、技师、高级技师、特级技师、首席技师构成的“新八级工”职业技能等级（岗位）序列。</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（二）等级（岗位）条件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eastAsia="仿宋_GB2312"/>
          <w:color w:val="auto"/>
          <w:sz w:val="32"/>
          <w:szCs w:val="32"/>
        </w:rPr>
        <w:t>学徒工的评价条件，由企业自行设置。</w:t>
      </w:r>
      <w:r>
        <w:rPr>
          <w:rFonts w:hint="eastAsia" w:ascii="仿宋_GB2312" w:hAnsi="仿宋_GB2312" w:eastAsia="仿宋_GB2312" w:cs="仿宋_GB2312"/>
          <w:color w:val="auto"/>
          <w:sz w:val="32"/>
          <w:szCs w:val="32"/>
        </w:rPr>
        <w:t>初级工、中级工、高级工、技师、高级技师评价，应根据国家职业（技能）标准或行业企业评价规范要求，按照</w:t>
      </w:r>
      <w:r>
        <w:rPr>
          <w:rFonts w:hint="eastAsia" w:ascii="仿宋_GB2312" w:hAnsi="仿宋_GB2312" w:eastAsia="仿宋_GB2312" w:cs="仿宋_GB2312"/>
          <w:color w:val="auto"/>
          <w:sz w:val="32"/>
          <w:szCs w:val="32"/>
          <w:lang w:eastAsia="zh-CN"/>
        </w:rPr>
        <w:t>企业</w:t>
      </w:r>
      <w:r>
        <w:rPr>
          <w:rFonts w:hint="eastAsia" w:ascii="仿宋_GB2312" w:hAnsi="仿宋_GB2312" w:eastAsia="仿宋_GB2312" w:cs="仿宋_GB2312"/>
          <w:color w:val="auto"/>
          <w:sz w:val="32"/>
          <w:szCs w:val="32"/>
        </w:rPr>
        <w:t>备案的申报条件和破格申报条件执行。特级技师、首席技师应为企业生产科研一线从事技术技能工作的在职在岗优秀高技能人才，具备高超的解决生产一线技术难题业务水平或带徒传技成果显著，职业能力和工作业绩在生产、工作领域得到一致公认，符合相关职业技能等级（岗位）基本要求（</w:t>
      </w:r>
      <w:r>
        <w:rPr>
          <w:rFonts w:hint="default" w:ascii="仿宋_GB2312" w:hAnsi="仿宋_GB2312" w:eastAsia="仿宋_GB2312" w:cs="仿宋_GB2312"/>
          <w:color w:val="auto"/>
          <w:sz w:val="32"/>
          <w:szCs w:val="32"/>
        </w:rPr>
        <w:t>见</w:t>
      </w: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），并具备以下条件：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特级技师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具有高级技师职业资格或职业技能等级，并在高级技师岗位工作满</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年且仍从事本职业（工种）工作；取得现从事职业（工种）高级技师职业资格或职业技能等级的正高级工程师，或高级工程师取得现从事职业（工种）高级技师职业资格或职业技能等级满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年，且累计工作年限达到</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年。对解决重大工艺技术难题和重大质量问题、技术创新成果获得省部级以上奖项的，可不受工作年限限制。</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首席技师</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已评为特级技师，且仍从事本职业（工种）工作。符合下列条件之一者可优先考虑：</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）中华技能大奖获得者，享受国务院颁发的政府特殊津贴人员、国家级技能大师工作室带头人、泰山产业领军人才（产业技能类）；</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）在重大技术攻关、成果转化、技术创新、发明等方面作出重大贡献，获得国家科学技术奖二等奖及以上奖项。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（三）评价标准</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企业应以国家职业（技能）标准、“新八级工”职业技能等级（岗位）要求为依据，结合工种（岗位）特点，自主确定各等级（岗位）评价标准或开发评价规范。在不低于国家职业（技能）标准的基础上，可对职业功能、工作内容、技能要求和申报条件等进行适当调整。企业要全面考察技能人才的工匠精神、职业道德、职业操守和从业行为，突出能力、业绩、贡献导向，重点评价技能人才执行操作规程、进行安全生产、解决生产问题和完成工作任务的能力，强化生产服务成果、创新成果和实际贡献。</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四、评价办法</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ascii="仿宋_GB2312" w:eastAsia="仿宋_GB2312"/>
          <w:color w:val="auto"/>
          <w:sz w:val="32"/>
          <w:szCs w:val="32"/>
        </w:rPr>
      </w:pPr>
      <w:r>
        <w:rPr>
          <w:rFonts w:hint="eastAsia" w:ascii="仿宋_GB2312" w:eastAsia="仿宋_GB2312"/>
          <w:color w:val="auto"/>
          <w:sz w:val="32"/>
          <w:szCs w:val="32"/>
        </w:rPr>
        <w:t>学徒工的认定考核由企业依据本单位有关要求进行。</w:t>
      </w:r>
      <w:r>
        <w:rPr>
          <w:rFonts w:hint="eastAsia" w:ascii="仿宋_GB2312" w:hAnsi="仿宋_GB2312" w:eastAsia="仿宋_GB2312" w:cs="仿宋_GB2312"/>
          <w:color w:val="auto"/>
          <w:sz w:val="32"/>
          <w:szCs w:val="32"/>
        </w:rPr>
        <w:t>初级工、中级工、高级工、技师、高级技师的认定考核由企业按照职业技能等级认定的相关要求开展。特级技师、首席技师评聘试点由省人力资源社会保障部门统筹推进，发挥各市人力资源社会保障部门指导作用和试点企业主体作用，按照申请试点、制定方案、组织评审、公示核准、颁发证书等程序实施（</w:t>
      </w:r>
      <w:r>
        <w:rPr>
          <w:rFonts w:hint="default" w:ascii="仿宋_GB2312" w:hAnsi="仿宋_GB2312" w:eastAsia="仿宋_GB2312" w:cs="仿宋_GB2312"/>
          <w:color w:val="auto"/>
          <w:sz w:val="32"/>
          <w:szCs w:val="32"/>
        </w:rPr>
        <w:t>见</w:t>
      </w: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）。中央企</w:t>
      </w:r>
      <w:r>
        <w:rPr>
          <w:rFonts w:hint="eastAsia" w:ascii="仿宋_GB2312" w:eastAsia="仿宋_GB2312"/>
          <w:color w:val="auto"/>
          <w:sz w:val="32"/>
          <w:szCs w:val="32"/>
        </w:rPr>
        <w:t>业驻鲁分支机构的特级技师、首席技师评聘工作，按照中央企业有关规定执行。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textAlignment w:val="auto"/>
        <w:outlineLvl w:val="9"/>
        <w:rPr>
          <w:rFonts w:ascii="仿宋_GB2312" w:eastAsia="仿宋_GB2312"/>
          <w:color w:val="auto"/>
          <w:sz w:val="32"/>
          <w:szCs w:val="32"/>
        </w:rPr>
      </w:pPr>
      <w:r>
        <w:rPr>
          <w:rFonts w:hint="eastAsia" w:ascii="仿宋_GB2312" w:eastAsia="仿宋_GB2312"/>
          <w:color w:val="auto"/>
          <w:sz w:val="32"/>
          <w:szCs w:val="32"/>
        </w:rPr>
        <w:t>学徒工</w:t>
      </w:r>
      <w:r>
        <w:rPr>
          <w:rFonts w:hint="eastAsia" w:ascii="仿宋_GB2312" w:hAnsi="仿宋_GB2312" w:eastAsia="仿宋_GB2312" w:cs="仿宋_GB2312"/>
          <w:color w:val="auto"/>
          <w:sz w:val="32"/>
          <w:szCs w:val="32"/>
        </w:rPr>
        <w:t>证书参考职业技能等级证书通用样式。首席技师证书样式按照人力资源社会保障部有关要求确定（具体见附件</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五、工作要求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highlight w:val="none"/>
        </w:rPr>
      </w:pPr>
      <w:r>
        <w:rPr>
          <w:rFonts w:hint="eastAsia" w:ascii="楷体_GB2312" w:hAnsi="楷体_GB2312" w:eastAsia="楷体_GB2312" w:cs="楷体_GB2312"/>
          <w:color w:val="auto"/>
          <w:sz w:val="32"/>
          <w:szCs w:val="32"/>
        </w:rPr>
        <w:t>（一）加强组织领导。</w:t>
      </w:r>
      <w:r>
        <w:rPr>
          <w:rFonts w:hint="eastAsia" w:ascii="仿宋_GB2312" w:hAnsi="仿宋_GB2312" w:eastAsia="仿宋_GB2312" w:cs="仿宋_GB2312"/>
          <w:color w:val="auto"/>
          <w:sz w:val="32"/>
          <w:szCs w:val="32"/>
        </w:rPr>
        <w:t>健全完善“新八级工”职业技能等级制度事关广大技能人才的切身利益，涉及面广，政治性、政策性</w:t>
      </w:r>
      <w:r>
        <w:rPr>
          <w:rFonts w:hint="eastAsia" w:ascii="仿宋_GB2312" w:hAnsi="仿宋_GB2312" w:eastAsia="仿宋_GB2312" w:cs="仿宋_GB2312"/>
          <w:color w:val="auto"/>
          <w:sz w:val="32"/>
          <w:szCs w:val="32"/>
          <w:highlight w:val="none"/>
        </w:rPr>
        <w:t>和技术性强，各级人力资源社会保障部门要切实加强统筹协调，</w:t>
      </w:r>
      <w:r>
        <w:rPr>
          <w:rFonts w:hint="eastAsia" w:ascii="仿宋_GB2312" w:hAnsi="仿宋_GB2312" w:eastAsia="仿宋_GB2312" w:cs="仿宋_GB2312"/>
          <w:color w:val="auto"/>
          <w:sz w:val="32"/>
          <w:szCs w:val="32"/>
          <w:highlight w:val="none"/>
          <w:lang w:eastAsia="zh-CN"/>
        </w:rPr>
        <w:t>对申请试点企业严格评估，</w:t>
      </w:r>
      <w:r>
        <w:rPr>
          <w:rFonts w:hint="eastAsia" w:ascii="仿宋_GB2312" w:hAnsi="仿宋_GB2312" w:eastAsia="仿宋_GB2312" w:cs="仿宋_GB2312"/>
          <w:color w:val="auto"/>
          <w:sz w:val="32"/>
          <w:szCs w:val="32"/>
          <w:highlight w:val="none"/>
        </w:rPr>
        <w:t>认真做好推动落实、服务保障、监督检查、宣传引导等工作，加强调查研究，及时总结经验，稳步有序推进</w:t>
      </w:r>
      <w:r>
        <w:rPr>
          <w:rFonts w:hint="eastAsia" w:ascii="仿宋_GB2312" w:hAnsi="仿宋_GB2312" w:eastAsia="仿宋_GB2312" w:cs="仿宋_GB2312"/>
          <w:color w:val="auto"/>
          <w:sz w:val="32"/>
          <w:szCs w:val="32"/>
          <w:highlight w:val="none"/>
          <w:lang w:eastAsia="zh-CN"/>
        </w:rPr>
        <w:t>试点工作</w:t>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（二）健全服务体系。</w:t>
      </w:r>
      <w:r>
        <w:rPr>
          <w:rFonts w:hint="eastAsia" w:ascii="仿宋_GB2312" w:hAnsi="仿宋_GB2312" w:eastAsia="仿宋_GB2312" w:cs="仿宋_GB2312"/>
          <w:color w:val="auto"/>
          <w:sz w:val="32"/>
          <w:szCs w:val="32"/>
        </w:rPr>
        <w:t>各级人力资源社会保障部门要加强技能人才评价服务体系建设，对焦企业需求，为企业提供定制化、精准化、便利化服务。要主动对接企业，上门宣讲政策，指导企业按照客观、公正、科学、规范的原则开展评价，引导企业将职业技能等级作为技能人才工资分配的重要参考，合理确定技能人才工资水平。</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（三）压实主体责任。</w:t>
      </w:r>
      <w:r>
        <w:rPr>
          <w:rFonts w:hint="eastAsia" w:ascii="仿宋_GB2312" w:hAnsi="仿宋_GB2312" w:eastAsia="仿宋_GB2312" w:cs="仿宋_GB2312"/>
          <w:color w:val="auto"/>
          <w:sz w:val="32"/>
          <w:szCs w:val="32"/>
        </w:rPr>
        <w:t>企业要认真履行“谁评价、谁发证、谁负责”主体责任，坚持以用为本，稳妥有序开展特级技师、首席技师评聘工作，不搞高级技师普遍晋升。要对评审标准、程序、办法和配套措施作出具体规定，科学制定方案，精心组织实施。要坚持公开透明原则，主动接受本企业职工、同行和社会监督。</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r>
        <w:rPr>
          <w:rFonts w:hint="eastAsia" w:ascii="楷体_GB2312" w:hAnsi="楷体_GB2312" w:eastAsia="楷体_GB2312" w:cs="楷体_GB2312"/>
          <w:color w:val="auto"/>
          <w:sz w:val="32"/>
          <w:szCs w:val="32"/>
        </w:rPr>
        <w:t>（四）强化质量督导。</w:t>
      </w:r>
      <w:r>
        <w:rPr>
          <w:rFonts w:hint="eastAsia" w:ascii="仿宋_GB2312" w:hAnsi="仿宋_GB2312" w:eastAsia="仿宋_GB2312" w:cs="仿宋_GB2312"/>
          <w:color w:val="auto"/>
          <w:sz w:val="32"/>
          <w:szCs w:val="32"/>
        </w:rPr>
        <w:t>各级人力资源社会保障部门要认真落实《</w:t>
      </w:r>
      <w:r>
        <w:rPr>
          <w:rFonts w:hint="default" w:ascii="仿宋_GB2312" w:hAnsi="仿宋_GB2312" w:eastAsia="仿宋_GB2312" w:cs="仿宋_GB2312"/>
          <w:color w:val="auto"/>
          <w:sz w:val="32"/>
          <w:szCs w:val="32"/>
        </w:rPr>
        <w:t>山东省人力资源和社会保障厅关于印发&lt;</w:t>
      </w:r>
      <w:r>
        <w:rPr>
          <w:rFonts w:hint="eastAsia" w:ascii="仿宋_GB2312" w:hAnsi="仿宋_GB2312" w:eastAsia="仿宋_GB2312" w:cs="仿宋_GB2312"/>
          <w:color w:val="auto"/>
          <w:sz w:val="32"/>
          <w:szCs w:val="32"/>
        </w:rPr>
        <w:t>山东省技能人才评价质量督导工作实施细则（试行）</w:t>
      </w:r>
      <w:r>
        <w:rPr>
          <w:rFonts w:hint="default" w:ascii="仿宋_GB2312" w:hAnsi="仿宋_GB2312" w:eastAsia="仿宋_GB2312" w:cs="仿宋_GB2312"/>
          <w:color w:val="auto"/>
          <w:sz w:val="32"/>
          <w:szCs w:val="32"/>
        </w:rPr>
        <w:t>&gt;的通知</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（鲁人社字</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2022</w:t>
      </w:r>
      <w:r>
        <w:rPr>
          <w:rFonts w:hint="eastAsia" w:ascii="仿宋_GB2312" w:hAnsi="仿宋_GB2312" w:eastAsia="仿宋_GB2312" w:cs="仿宋_GB2312"/>
          <w:color w:val="auto"/>
          <w:sz w:val="32"/>
          <w:szCs w:val="32"/>
        </w:rPr>
        <w:t>〕</w:t>
      </w:r>
      <w:r>
        <w:rPr>
          <w:rFonts w:hint="default" w:ascii="仿宋_GB2312" w:hAnsi="仿宋_GB2312" w:eastAsia="仿宋_GB2312" w:cs="仿宋_GB2312"/>
          <w:color w:val="auto"/>
          <w:sz w:val="32"/>
          <w:szCs w:val="32"/>
        </w:rPr>
        <w:t>68</w:t>
      </w:r>
      <w:r>
        <w:rPr>
          <w:rFonts w:hint="eastAsia" w:ascii="仿宋_GB2312" w:hAnsi="仿宋_GB2312" w:eastAsia="仿宋_GB2312" w:cs="仿宋_GB2312"/>
          <w:color w:val="auto"/>
          <w:sz w:val="32"/>
          <w:szCs w:val="32"/>
        </w:rPr>
        <w:t>号</w:t>
      </w:r>
      <w:r>
        <w:rPr>
          <w:rFonts w:hint="default"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，按照“分级负责、属地管理”原则，采取“双随机、一公开”“互联网</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监管”等方式，加强对企业评价活动，特别是特级技师、首席技师评聘工作的质量督导和监管，督促企业认真落实各项评价制度，确保评价质量。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“新八级工”职业技能等级（岗位）要求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2.</w:t>
      </w:r>
      <w:r>
        <w:rPr>
          <w:rFonts w:hint="eastAsia" w:ascii="仿宋_GB2312" w:hAnsi="仿宋_GB2312" w:eastAsia="仿宋_GB2312" w:cs="仿宋_GB2312"/>
          <w:color w:val="auto"/>
          <w:sz w:val="32"/>
          <w:szCs w:val="32"/>
        </w:rPr>
        <w:t>特级技师、首席技师评聘工作流程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3.</w:t>
      </w:r>
      <w:r>
        <w:rPr>
          <w:rFonts w:hint="eastAsia" w:ascii="仿宋_GB2312" w:hAnsi="仿宋_GB2312" w:eastAsia="仿宋_GB2312" w:cs="仿宋_GB2312"/>
          <w:color w:val="auto"/>
          <w:sz w:val="32"/>
          <w:szCs w:val="32"/>
        </w:rPr>
        <w:t>首席技师证书参考样式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4.</w:t>
      </w:r>
      <w:r>
        <w:rPr>
          <w:rFonts w:hint="eastAsia" w:ascii="仿宋_GB2312" w:hAnsi="仿宋_GB2312" w:eastAsia="仿宋_GB2312" w:cs="仿宋_GB2312"/>
          <w:color w:val="auto"/>
          <w:sz w:val="32"/>
          <w:szCs w:val="32"/>
        </w:rPr>
        <w:t>特级技师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首席技师评审备案申请表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840" w:firstLineChars="1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r>
        <w:rPr>
          <w:rFonts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 xml:space="preserve">             </w:t>
      </w:r>
      <w:r>
        <w:rPr>
          <w:rFonts w:ascii="仿宋_GB2312" w:hAnsi="仿宋_GB2312" w:eastAsia="仿宋_GB2312" w:cs="仿宋_GB2312"/>
          <w:color w:val="auto"/>
          <w:sz w:val="32"/>
          <w:szCs w:val="32"/>
        </w:rPr>
        <w:t xml:space="preserve">   2023</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27</w:t>
      </w:r>
      <w:r>
        <w:rPr>
          <w:rFonts w:hint="eastAsia" w:ascii="仿宋_GB2312" w:hAnsi="仿宋_GB2312" w:eastAsia="仿宋_GB2312" w:cs="仿宋_GB2312"/>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 xml:space="preserve">    （联系单位：省公共就业和人才服务中心技能人才评价管理服务处）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ascii="黑体" w:hAnsi="黑体" w:eastAsia="黑体" w:cs="黑体"/>
          <w:color w:val="auto"/>
          <w:sz w:val="44"/>
          <w:szCs w:val="44"/>
        </w:rPr>
      </w:pPr>
      <w:r>
        <w:rPr>
          <w:rFonts w:ascii="仿宋_GB2312" w:hAnsi="仿宋_GB2312" w:eastAsia="仿宋_GB2312" w:cs="仿宋_GB2312"/>
          <w:color w:val="auto"/>
          <w:sz w:val="32"/>
          <w:szCs w:val="32"/>
        </w:rPr>
        <w:br w:type="page"/>
      </w:r>
      <w:r>
        <w:rPr>
          <w:rFonts w:hint="eastAsia" w:ascii="黑体" w:hAnsi="黑体" w:eastAsia="黑体" w:cs="黑体"/>
          <w:color w:val="auto"/>
          <w:sz w:val="32"/>
          <w:szCs w:val="32"/>
        </w:rPr>
        <w:t>附件</w:t>
      </w:r>
      <w:r>
        <w:rPr>
          <w:rFonts w:ascii="黑体" w:hAnsi="黑体" w:eastAsia="黑体" w:cs="黑体"/>
          <w:color w:val="auto"/>
          <w:sz w:val="32"/>
          <w:szCs w:val="32"/>
        </w:rPr>
        <w:t>1</w:t>
      </w:r>
    </w:p>
    <w:p>
      <w:pPr>
        <w:jc w:val="center"/>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“新八级工”职业技能等级（岗位）要求</w:t>
      </w:r>
    </w:p>
    <w:tbl>
      <w:tblPr>
        <w:tblStyle w:val="10"/>
        <w:tblW w:w="89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42"/>
        <w:gridCol w:w="1345"/>
        <w:gridCol w:w="5013"/>
        <w:gridCol w:w="1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68"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序号</w:t>
            </w:r>
            <w:r>
              <w:rPr>
                <w:rFonts w:ascii="仿宋_GB2312" w:hAnsi="仿宋_GB2312" w:eastAsia="仿宋_GB2312" w:cs="仿宋_GB2312"/>
                <w:color w:val="auto"/>
                <w:sz w:val="24"/>
              </w:rPr>
              <w:t xml:space="preserve"> </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级别名称</w:t>
            </w:r>
          </w:p>
        </w:tc>
        <w:tc>
          <w:tcPr>
            <w:tcW w:w="5013"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基本要求</w:t>
            </w:r>
          </w:p>
        </w:tc>
        <w:tc>
          <w:tcPr>
            <w:tcW w:w="1947"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实施机构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exac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1</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学徒工</w:t>
            </w:r>
          </w:p>
        </w:tc>
        <w:tc>
          <w:tcPr>
            <w:tcW w:w="5013" w:type="dxa"/>
            <w:shd w:val="clear" w:color="auto" w:fill="FFFFFF"/>
            <w:tcMar>
              <w:top w:w="0" w:type="dxa"/>
              <w:left w:w="78" w:type="dxa"/>
              <w:bottom w:w="0" w:type="dxa"/>
              <w:right w:w="78" w:type="dxa"/>
            </w:tcMar>
            <w:vAlign w:val="center"/>
          </w:tcPr>
          <w:p>
            <w:pPr>
              <w:jc w:val="left"/>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能够基本完成本职业某一方面的主要工作。</w:t>
            </w:r>
          </w:p>
        </w:tc>
        <w:tc>
          <w:tcPr>
            <w:tcW w:w="1947"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80" w:hRule="exac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2</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初级工</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能够运用基本技能独立完成本职业的常规工作。</w:t>
            </w:r>
          </w:p>
        </w:tc>
        <w:tc>
          <w:tcPr>
            <w:tcW w:w="1947" w:type="dxa"/>
            <w:vMerge w:val="restart"/>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用人单位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514"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3</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中级工</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能够熟练运用基本技能独立完成本职业的常规工作；在特定情况下，能够运用专门技能完成技术较为复杂的工作；能够与他人合作。</w:t>
            </w:r>
          </w:p>
        </w:tc>
        <w:tc>
          <w:tcPr>
            <w:tcW w:w="1947" w:type="dxa"/>
            <w:vMerge w:val="continue"/>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17"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4</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高级工</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能够熟练运用基本技能和专门技能完成本职业较为复杂的工作，包括完成部分非常规性的工作；能够独立处理工作中出现的问题；能够指导和培训初、中级工。</w:t>
            </w:r>
          </w:p>
        </w:tc>
        <w:tc>
          <w:tcPr>
            <w:tcW w:w="1947" w:type="dxa"/>
            <w:vMerge w:val="continue"/>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48"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5</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技师</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熟练运用专门技能和特殊技能完成本职业复杂的、非常规性的工作；掌握本职业的关键技术技能，能够独立处理和解决技术或工艺难题；在技术技能方面有创新；能够指导和培训初、中、高级工；具有一定的技术管理能力。</w:t>
            </w:r>
          </w:p>
        </w:tc>
        <w:tc>
          <w:tcPr>
            <w:tcW w:w="1947" w:type="dxa"/>
            <w:vMerge w:val="continue"/>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72"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6</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高级技师</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能够熟练运用专门技能和特殊技能在本职业的各个领域完成复杂的、非常规性工作；熟练掌握本职业的关键技术技能，能够独立处理和解决高难度的技术问题或工艺难题；在技术攻关和工艺革新方面有创新；能够组织开展技术改造、技术革新活动；能够组织开展系统的专业技术培训；具有技术管理能力。</w:t>
            </w:r>
          </w:p>
        </w:tc>
        <w:tc>
          <w:tcPr>
            <w:tcW w:w="1947" w:type="dxa"/>
            <w:vMerge w:val="continue"/>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038"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7</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特级技师</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在生产科研一线从事技术技能工作、业绩贡献突出的“企业高技能领军人才”。能够熟练运用专门技能和特殊技能在本职业的各个领域完成复杂的、非常规性工作；精通本职业及相关职业的重要理论原理及关键技术技能，能够独立处理和解决高难度的技术问题或工艺难题；承担传授技艺的任务，在技能人才梯队培养上作出突出贡献。</w:t>
            </w:r>
          </w:p>
        </w:tc>
        <w:tc>
          <w:tcPr>
            <w:tcW w:w="1947"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人力资源社会保障部门指导用人单位实施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448" w:hRule="atLeast"/>
          <w:jc w:val="center"/>
        </w:trPr>
        <w:tc>
          <w:tcPr>
            <w:tcW w:w="642"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ascii="仿宋_GB2312" w:hAnsi="仿宋_GB2312" w:eastAsia="仿宋_GB2312" w:cs="仿宋_GB2312"/>
                <w:color w:val="auto"/>
                <w:sz w:val="24"/>
              </w:rPr>
              <w:t>8</w:t>
            </w:r>
          </w:p>
        </w:tc>
        <w:tc>
          <w:tcPr>
            <w:tcW w:w="1345"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首席技师</w:t>
            </w:r>
          </w:p>
        </w:tc>
        <w:tc>
          <w:tcPr>
            <w:tcW w:w="5013" w:type="dxa"/>
            <w:shd w:val="clear" w:color="auto" w:fill="FFFFFF"/>
            <w:tcMar>
              <w:top w:w="0" w:type="dxa"/>
              <w:left w:w="78" w:type="dxa"/>
              <w:bottom w:w="0" w:type="dxa"/>
              <w:right w:w="78" w:type="dxa"/>
            </w:tcMar>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left"/>
              <w:textAlignment w:val="auto"/>
              <w:outlineLvl w:val="9"/>
              <w:rPr>
                <w:rFonts w:ascii="仿宋_GB2312" w:hAnsi="仿宋_GB2312" w:eastAsia="仿宋_GB2312" w:cs="仿宋_GB2312"/>
                <w:color w:val="auto"/>
                <w:sz w:val="24"/>
              </w:rPr>
            </w:pPr>
            <w:r>
              <w:rPr>
                <w:rFonts w:hint="eastAsia" w:ascii="仿宋_GB2312" w:hAnsi="仿宋_GB2312" w:eastAsia="仿宋_GB2312" w:cs="仿宋_GB2312"/>
                <w:color w:val="auto"/>
                <w:sz w:val="24"/>
              </w:rPr>
              <w:t>在技术技能领域作出重大贡献，或在本地区、本行业企业具有公认的高超技能、精湛技艺的“地方或行业企业高技能领军人才”。为地方、行业企业高技能人才队伍建设作出突出贡献；为国家重大技术攻关、成果转化、技术创新、发明等作出突出贡献，在地方、行业企业的技术进步与发展中发挥关键作用，专业水平在地方、行业企业具有很高认可度和影响力。</w:t>
            </w:r>
          </w:p>
        </w:tc>
        <w:tc>
          <w:tcPr>
            <w:tcW w:w="1947" w:type="dxa"/>
            <w:shd w:val="clear" w:color="auto" w:fill="FFFFFF"/>
            <w:tcMar>
              <w:top w:w="0" w:type="dxa"/>
              <w:left w:w="78" w:type="dxa"/>
              <w:bottom w:w="0" w:type="dxa"/>
              <w:right w:w="78" w:type="dxa"/>
            </w:tcMar>
            <w:vAlign w:val="center"/>
          </w:tcPr>
          <w:p>
            <w:pPr>
              <w:jc w:val="center"/>
              <w:rPr>
                <w:rFonts w:ascii="仿宋_GB2312" w:hAnsi="仿宋_GB2312" w:eastAsia="仿宋_GB2312" w:cs="仿宋_GB2312"/>
                <w:color w:val="auto"/>
                <w:sz w:val="24"/>
              </w:rPr>
            </w:pPr>
            <w:r>
              <w:rPr>
                <w:rFonts w:hint="eastAsia" w:ascii="仿宋_GB2312" w:hAnsi="仿宋_GB2312" w:eastAsia="仿宋_GB2312" w:cs="仿宋_GB2312"/>
                <w:color w:val="auto"/>
                <w:sz w:val="24"/>
              </w:rPr>
              <w:t>人力资源社会保障部门、有关行业主管部门指导用人单位实施</w:t>
            </w:r>
          </w:p>
        </w:tc>
      </w:tr>
    </w:tbl>
    <w:p>
      <w:pPr>
        <w:rPr>
          <w:rFonts w:ascii="仿宋_GB2312" w:hAnsi="仿宋_GB2312" w:eastAsia="仿宋_GB2312" w:cs="仿宋_GB2312"/>
          <w:color w:val="auto"/>
          <w:sz w:val="24"/>
        </w:rPr>
      </w:pPr>
      <w:r>
        <w:rPr>
          <w:rFonts w:ascii="仿宋_GB2312" w:hAnsi="仿宋_GB2312" w:eastAsia="仿宋_GB2312" w:cs="仿宋_GB2312"/>
          <w:color w:val="auto"/>
          <w:sz w:val="24"/>
        </w:rPr>
        <w:t xml:space="preserve">    </w:t>
      </w:r>
      <w:r>
        <w:rPr>
          <w:rFonts w:hint="eastAsia" w:ascii="仿宋_GB2312" w:hAnsi="仿宋_GB2312" w:eastAsia="仿宋_GB2312" w:cs="仿宋_GB2312"/>
          <w:color w:val="auto"/>
          <w:sz w:val="24"/>
        </w:rPr>
        <w:t>注：企业可结合实际对上述要求进行修订完善。</w:t>
      </w:r>
    </w:p>
    <w:p>
      <w:pPr>
        <w:rPr>
          <w:rFonts w:ascii="仿宋_GB2312" w:hAnsi="仿宋_GB2312" w:eastAsia="仿宋_GB2312" w:cs="仿宋_GB2312"/>
          <w:color w:val="auto"/>
          <w:sz w:val="24"/>
        </w:rPr>
      </w:pPr>
    </w:p>
    <w:p>
      <w:pPr>
        <w:rPr>
          <w:rFonts w:ascii="黑体" w:hAnsi="黑体" w:eastAsia="黑体" w:cs="黑体"/>
          <w:color w:val="auto"/>
          <w:sz w:val="32"/>
          <w:szCs w:val="32"/>
        </w:rPr>
      </w:pPr>
      <w:r>
        <w:rPr>
          <w:rFonts w:ascii="仿宋_GB2312" w:hAnsi="仿宋_GB2312" w:eastAsia="仿宋_GB2312" w:cs="仿宋_GB2312"/>
          <w:color w:val="auto"/>
          <w:sz w:val="24"/>
        </w:rPr>
        <w:br w:type="page"/>
      </w:r>
      <w:r>
        <w:rPr>
          <w:rFonts w:hint="eastAsia" w:ascii="黑体" w:hAnsi="黑体" w:eastAsia="黑体" w:cs="黑体"/>
          <w:color w:val="auto"/>
          <w:sz w:val="32"/>
          <w:szCs w:val="32"/>
        </w:rPr>
        <w:t>附件</w:t>
      </w:r>
      <w:r>
        <w:rPr>
          <w:rFonts w:ascii="黑体" w:hAnsi="黑体" w:eastAsia="黑体" w:cs="黑体"/>
          <w:color w:val="auto"/>
          <w:sz w:val="32"/>
          <w:szCs w:val="32"/>
        </w:rPr>
        <w:t>2</w:t>
      </w:r>
    </w:p>
    <w:p>
      <w:pPr>
        <w:spacing w:line="560" w:lineRule="exact"/>
        <w:rPr>
          <w:rFonts w:ascii="黑体" w:hAnsi="黑体" w:eastAsia="黑体" w:cs="黑体"/>
          <w:color w:val="auto"/>
          <w:sz w:val="32"/>
          <w:szCs w:val="32"/>
        </w:rPr>
      </w:pPr>
    </w:p>
    <w:p>
      <w:pPr>
        <w:spacing w:line="560" w:lineRule="exact"/>
        <w:jc w:val="center"/>
        <w:rPr>
          <w:rFonts w:ascii="方正小标宋简体" w:hAnsi="方正小标宋_GBK" w:eastAsia="方正小标宋简体" w:cs="方正小标宋_GBK"/>
          <w:color w:val="auto"/>
          <w:sz w:val="44"/>
          <w:szCs w:val="44"/>
        </w:rPr>
      </w:pPr>
      <w:r>
        <w:rPr>
          <w:rFonts w:hint="eastAsia" w:ascii="方正小标宋简体" w:hAnsi="方正小标宋_GBK" w:eastAsia="方正小标宋简体" w:cs="方正小标宋_GBK"/>
          <w:color w:val="auto"/>
          <w:sz w:val="44"/>
          <w:szCs w:val="44"/>
        </w:rPr>
        <w:t>特级技师、首席技师评聘工作流程</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一、申请试点。</w:t>
      </w:r>
      <w:r>
        <w:rPr>
          <w:rFonts w:hint="eastAsia" w:ascii="仿宋_GB2312" w:hAnsi="仿宋_GB2312" w:eastAsia="仿宋_GB2312" w:cs="仿宋_GB2312"/>
          <w:color w:val="auto"/>
          <w:sz w:val="32"/>
          <w:szCs w:val="32"/>
        </w:rPr>
        <w:t>拟开展首席技师、特级技师评聘的企业，应按企业技能人才自主评价备案程序，向备案的人力资源社会保障部门提出试点申请。经评估同意后，发放同意试点的回执。对申请首席技师评聘试点的市级备案企业，由市人力资源社会保障局评估，报经省人力资源社会保障厅同意后，发放同意试点的回执。</w:t>
      </w:r>
    </w:p>
    <w:p>
      <w:pPr>
        <w:spacing w:line="56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备案需要提交的材料包括：</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特级技师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首席技师评审备案申请表（</w:t>
      </w:r>
      <w:r>
        <w:rPr>
          <w:rFonts w:hint="default" w:ascii="仿宋_GB2312" w:hAnsi="仿宋_GB2312" w:eastAsia="仿宋_GB2312" w:cs="仿宋_GB2312"/>
          <w:color w:val="auto"/>
          <w:sz w:val="32"/>
          <w:szCs w:val="32"/>
        </w:rPr>
        <w:t>见</w:t>
      </w:r>
      <w:r>
        <w:rPr>
          <w:rFonts w:hint="eastAsia" w:ascii="仿宋_GB2312" w:hAnsi="仿宋_GB2312" w:eastAsia="仿宋_GB2312" w:cs="仿宋_GB2312"/>
          <w:color w:val="auto"/>
          <w:sz w:val="32"/>
          <w:szCs w:val="32"/>
        </w:rPr>
        <w:t>附件</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w:t>
      </w:r>
    </w:p>
    <w:p>
      <w:pPr>
        <w:spacing w:line="560" w:lineRule="exact"/>
        <w:ind w:firstLine="640" w:firstLineChars="20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特级技师</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首席技师评审工作方案（含评审规划、评审标准、评审方法、评审程序、评审结果应用管理等内容）。</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二、制定方案。</w:t>
      </w:r>
      <w:r>
        <w:rPr>
          <w:rFonts w:hint="eastAsia" w:ascii="仿宋_GB2312" w:hAnsi="仿宋_GB2312" w:eastAsia="仿宋_GB2312" w:cs="仿宋_GB2312"/>
          <w:color w:val="auto"/>
          <w:sz w:val="32"/>
          <w:szCs w:val="32"/>
        </w:rPr>
        <w:t>企业开展特级技师、首席技师评价前，应按照要求结合实际制定工作方案，明确评审职业（工种）范围、评审条件、评审方式、组织形式、时间安排等内容，向全体职工公开，并向人力资源社会保障部门报备工作方案。</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三、组织评审。</w:t>
      </w:r>
      <w:r>
        <w:rPr>
          <w:rFonts w:hint="eastAsia" w:ascii="仿宋_GB2312" w:hAnsi="仿宋_GB2312" w:eastAsia="仿宋_GB2312" w:cs="仿宋_GB2312"/>
          <w:color w:val="auto"/>
          <w:sz w:val="32"/>
          <w:szCs w:val="32"/>
        </w:rPr>
        <w:t>对符合资格条件的人员，原则上由企业职业技能等级认定考核委员会或专家评审委员会评审，也可委托行业组织评审，提出建议人选名单。</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四、公示核准。</w:t>
      </w:r>
      <w:r>
        <w:rPr>
          <w:rFonts w:hint="eastAsia" w:ascii="仿宋_GB2312" w:hAnsi="仿宋_GB2312" w:eastAsia="仿宋_GB2312" w:cs="仿宋_GB2312"/>
          <w:color w:val="auto"/>
          <w:sz w:val="32"/>
          <w:szCs w:val="32"/>
        </w:rPr>
        <w:t>建议人选名单须在企业内进行公示，公示期不少于</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个工作日。经公示无异议的，由企业研究确定特级技师、首席技师人员名单。</w:t>
      </w:r>
    </w:p>
    <w:p>
      <w:pPr>
        <w:spacing w:line="560" w:lineRule="exact"/>
        <w:ind w:firstLine="640" w:firstLineChars="200"/>
        <w:rPr>
          <w:rFonts w:ascii="仿宋_GB2312" w:hAnsi="仿宋_GB2312" w:eastAsia="仿宋_GB2312" w:cs="仿宋_GB2312"/>
          <w:color w:val="auto"/>
          <w:sz w:val="32"/>
          <w:szCs w:val="32"/>
        </w:rPr>
      </w:pPr>
      <w:r>
        <w:rPr>
          <w:rFonts w:hint="eastAsia" w:ascii="黑体" w:hAnsi="黑体" w:eastAsia="黑体" w:cs="仿宋_GB2312"/>
          <w:color w:val="auto"/>
          <w:sz w:val="32"/>
          <w:szCs w:val="32"/>
        </w:rPr>
        <w:t>五、颁发证书。</w:t>
      </w:r>
      <w:r>
        <w:rPr>
          <w:rFonts w:hint="eastAsia" w:ascii="仿宋_GB2312" w:hAnsi="黑体" w:eastAsia="仿宋_GB2312" w:cs="仿宋_GB2312"/>
          <w:color w:val="auto"/>
          <w:sz w:val="32"/>
          <w:szCs w:val="32"/>
        </w:rPr>
        <w:t>企业为核准的特级技师、首席技师颁发证书，按本单位相关规定使用管理，并落实相应政策待遇。</w:t>
      </w:r>
      <w:r>
        <w:rPr>
          <w:rFonts w:hint="eastAsia" w:ascii="仿宋_GB2312" w:hAnsi="仿宋_GB2312" w:eastAsia="仿宋_GB2312" w:cs="仿宋_GB2312"/>
          <w:color w:val="auto"/>
          <w:sz w:val="32"/>
          <w:szCs w:val="32"/>
        </w:rPr>
        <w:t>同时，企业按照有关要求和程序，及时上传特级技师、首席技师数据信息。通过审核并符合要求的证书信息，纳入全国职业技能等级证书查询系统、省技能人才数据库。</w:t>
      </w:r>
    </w:p>
    <w:p>
      <w:pPr>
        <w:spacing w:line="560" w:lineRule="exact"/>
        <w:ind w:firstLine="640" w:firstLineChars="200"/>
        <w:rPr>
          <w:rFonts w:ascii="仿宋_GB2312" w:hAnsi="仿宋_GB2312" w:eastAsia="仿宋_GB2312" w:cs="仿宋_GB2312"/>
          <w:color w:val="auto"/>
          <w:sz w:val="32"/>
          <w:szCs w:val="32"/>
        </w:rPr>
      </w:pPr>
    </w:p>
    <w:p>
      <w:pPr>
        <w:spacing w:line="560" w:lineRule="exact"/>
        <w:ind w:firstLine="640" w:firstLineChars="200"/>
        <w:rPr>
          <w:rFonts w:ascii="仿宋_GB2312" w:hAnsi="仿宋_GB2312" w:eastAsia="仿宋_GB2312" w:cs="仿宋_GB2312"/>
          <w:color w:val="auto"/>
          <w:sz w:val="32"/>
          <w:szCs w:val="32"/>
        </w:rPr>
        <w:sectPr>
          <w:headerReference r:id="rId3" w:type="default"/>
          <w:footerReference r:id="rId4" w:type="default"/>
          <w:pgSz w:w="11906" w:h="16838"/>
          <w:pgMar w:top="2098" w:right="1531" w:bottom="1814" w:left="1531" w:header="851" w:footer="1587" w:gutter="0"/>
          <w:cols w:space="0" w:num="1"/>
          <w:rtlGutter w:val="0"/>
          <w:docGrid w:type="linesAndChars" w:linePitch="587" w:charSpace="-849"/>
        </w:sectPr>
      </w:pPr>
    </w:p>
    <w:p>
      <w:pPr>
        <w:spacing w:line="560" w:lineRule="exact"/>
        <w:rPr>
          <w:rFonts w:ascii="黑体" w:hAnsi="黑体" w:eastAsia="黑体" w:cs="黑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3</w:t>
      </w:r>
    </w:p>
    <w:p>
      <w:pPr>
        <w:spacing w:line="560" w:lineRule="exact"/>
        <w:jc w:val="center"/>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drawing>
          <wp:anchor distT="0" distB="0" distL="114300" distR="114300" simplePos="0" relativeHeight="251659264" behindDoc="0" locked="0" layoutInCell="1" allowOverlap="1">
            <wp:simplePos x="0" y="0"/>
            <wp:positionH relativeFrom="margin">
              <wp:align>left</wp:align>
            </wp:positionH>
            <wp:positionV relativeFrom="paragraph">
              <wp:posOffset>382905</wp:posOffset>
            </wp:positionV>
            <wp:extent cx="8084185" cy="4694555"/>
            <wp:effectExtent l="0" t="0" r="0"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084185" cy="4694555"/>
                    </a:xfrm>
                    <a:prstGeom prst="rect">
                      <a:avLst/>
                    </a:prstGeom>
                    <a:noFill/>
                  </pic:spPr>
                </pic:pic>
              </a:graphicData>
            </a:graphic>
          </wp:anchor>
        </w:drawing>
      </w:r>
      <w:r>
        <w:rPr>
          <w:rFonts w:hint="eastAsia" w:ascii="方正小标宋简体" w:hAnsi="方正小标宋简体" w:eastAsia="方正小标宋简体" w:cs="方正小标宋简体"/>
          <w:color w:val="auto"/>
          <w:sz w:val="44"/>
          <w:szCs w:val="44"/>
        </w:rPr>
        <w:t>首席技师证书参考样式</w:t>
      </w:r>
    </w:p>
    <w:p>
      <w:pPr>
        <w:spacing w:line="560" w:lineRule="exact"/>
        <w:jc w:val="center"/>
        <w:rPr>
          <w:rFonts w:ascii="方正小标宋简体" w:hAnsi="方正小标宋简体" w:eastAsia="方正小标宋简体" w:cs="方正小标宋简体"/>
          <w:color w:val="auto"/>
          <w:sz w:val="44"/>
          <w:szCs w:val="44"/>
        </w:rPr>
        <w:sectPr>
          <w:pgSz w:w="16838" w:h="11906" w:orient="landscape"/>
          <w:pgMar w:top="1417" w:right="2098" w:bottom="1417" w:left="1814" w:header="851" w:footer="992" w:gutter="0"/>
          <w:cols w:space="0" w:num="1"/>
          <w:docGrid w:type="lines" w:linePitch="312" w:charSpace="0"/>
        </w:sectPr>
      </w:pPr>
    </w:p>
    <w:p>
      <w:pPr>
        <w:rPr>
          <w:rFonts w:ascii="黑体" w:hAnsi="黑体" w:eastAsia="黑体" w:cs="黑体"/>
          <w:color w:val="auto"/>
          <w:sz w:val="32"/>
          <w:szCs w:val="32"/>
        </w:rPr>
      </w:pPr>
      <w:r>
        <w:rPr>
          <w:rFonts w:hint="eastAsia" w:ascii="黑体" w:hAnsi="黑体" w:eastAsia="黑体" w:cs="黑体"/>
          <w:color w:val="auto"/>
          <w:sz w:val="32"/>
          <w:szCs w:val="32"/>
        </w:rPr>
        <w:t>附件</w:t>
      </w:r>
      <w:r>
        <w:rPr>
          <w:rFonts w:ascii="黑体" w:hAnsi="黑体" w:eastAsia="黑体" w:cs="黑体"/>
          <w:color w:val="auto"/>
          <w:sz w:val="32"/>
          <w:szCs w:val="32"/>
        </w:rPr>
        <w:t>4</w:t>
      </w:r>
    </w:p>
    <w:p>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特级技师</w:t>
      </w:r>
      <w:r>
        <w:rPr>
          <w:rFonts w:ascii="方正小标宋简体" w:eastAsia="方正小标宋简体"/>
          <w:color w:val="auto"/>
          <w:sz w:val="44"/>
          <w:szCs w:val="44"/>
        </w:rPr>
        <w:t>/</w:t>
      </w:r>
      <w:r>
        <w:rPr>
          <w:rFonts w:hint="eastAsia" w:ascii="方正小标宋简体" w:eastAsia="方正小标宋简体"/>
          <w:color w:val="auto"/>
          <w:sz w:val="44"/>
          <w:szCs w:val="44"/>
        </w:rPr>
        <w:t>首席技师评审备案申请表</w:t>
      </w:r>
    </w:p>
    <w:tbl>
      <w:tblPr>
        <w:tblStyle w:val="10"/>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3"/>
        <w:gridCol w:w="6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6" w:hRule="atLeast"/>
          <w:jc w:val="center"/>
        </w:trPr>
        <w:tc>
          <w:tcPr>
            <w:tcW w:w="2473" w:type="dxa"/>
            <w:vAlign w:val="center"/>
          </w:tcPr>
          <w:p>
            <w:pPr>
              <w:spacing w:line="420" w:lineRule="exact"/>
              <w:jc w:val="center"/>
              <w:rPr>
                <w:rFonts w:ascii="仿宋" w:hAnsi="仿宋" w:eastAsia="仿宋" w:cs="宋体"/>
                <w:color w:val="auto"/>
                <w:sz w:val="28"/>
                <w:szCs w:val="28"/>
              </w:rPr>
            </w:pPr>
            <w:r>
              <w:rPr>
                <w:rFonts w:hint="eastAsia"/>
                <w:color w:val="auto"/>
                <w:sz w:val="28"/>
                <w:szCs w:val="28"/>
              </w:rPr>
              <w:t>单位名称</w:t>
            </w:r>
          </w:p>
        </w:tc>
        <w:tc>
          <w:tcPr>
            <w:tcW w:w="6453" w:type="dxa"/>
            <w:vAlign w:val="center"/>
          </w:tcPr>
          <w:p>
            <w:pPr>
              <w:spacing w:line="600" w:lineRule="exact"/>
              <w:jc w:val="center"/>
              <w:rPr>
                <w:rFonts w:ascii="宋体" w:cs="宋体"/>
                <w:b/>
                <w:bCs/>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2" w:hRule="atLeast"/>
          <w:jc w:val="center"/>
        </w:trPr>
        <w:tc>
          <w:tcPr>
            <w:tcW w:w="2473" w:type="dxa"/>
            <w:vAlign w:val="center"/>
          </w:tcPr>
          <w:p>
            <w:pPr>
              <w:spacing w:line="420" w:lineRule="exact"/>
              <w:jc w:val="center"/>
              <w:rPr>
                <w:color w:val="auto"/>
                <w:sz w:val="28"/>
                <w:szCs w:val="28"/>
              </w:rPr>
            </w:pPr>
            <w:r>
              <w:rPr>
                <w:rFonts w:hint="eastAsia"/>
                <w:color w:val="auto"/>
                <w:sz w:val="28"/>
                <w:szCs w:val="28"/>
              </w:rPr>
              <w:t>企业自主评价机构</w:t>
            </w:r>
          </w:p>
          <w:p>
            <w:pPr>
              <w:spacing w:line="420" w:lineRule="exact"/>
              <w:jc w:val="center"/>
              <w:rPr>
                <w:rFonts w:ascii="仿宋" w:hAnsi="仿宋" w:eastAsia="仿宋" w:cs="宋体"/>
                <w:color w:val="auto"/>
                <w:sz w:val="28"/>
                <w:szCs w:val="28"/>
              </w:rPr>
            </w:pPr>
            <w:r>
              <w:rPr>
                <w:rFonts w:hint="eastAsia"/>
                <w:color w:val="auto"/>
                <w:sz w:val="28"/>
                <w:szCs w:val="28"/>
              </w:rPr>
              <w:t>备案号</w:t>
            </w:r>
          </w:p>
        </w:tc>
        <w:tc>
          <w:tcPr>
            <w:tcW w:w="6453" w:type="dxa"/>
            <w:vAlign w:val="center"/>
          </w:tcPr>
          <w:p>
            <w:pPr>
              <w:spacing w:line="420" w:lineRule="exact"/>
              <w:jc w:val="center"/>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02" w:hRule="atLeast"/>
          <w:jc w:val="center"/>
        </w:trPr>
        <w:tc>
          <w:tcPr>
            <w:tcW w:w="2473" w:type="dxa"/>
            <w:vAlign w:val="center"/>
          </w:tcPr>
          <w:p>
            <w:pPr>
              <w:spacing w:line="420" w:lineRule="exact"/>
              <w:jc w:val="center"/>
              <w:rPr>
                <w:color w:val="auto"/>
                <w:sz w:val="28"/>
                <w:szCs w:val="28"/>
              </w:rPr>
            </w:pPr>
            <w:r>
              <w:rPr>
                <w:rFonts w:hint="eastAsia"/>
                <w:color w:val="auto"/>
                <w:sz w:val="28"/>
                <w:szCs w:val="28"/>
              </w:rPr>
              <w:t>设立特级技师</w:t>
            </w:r>
            <w:r>
              <w:rPr>
                <w:color w:val="auto"/>
                <w:sz w:val="28"/>
                <w:szCs w:val="28"/>
              </w:rPr>
              <w:t>/</w:t>
            </w:r>
            <w:r>
              <w:rPr>
                <w:rFonts w:hint="eastAsia"/>
                <w:color w:val="auto"/>
                <w:sz w:val="28"/>
                <w:szCs w:val="28"/>
              </w:rPr>
              <w:t>首席技师职业</w:t>
            </w:r>
          </w:p>
          <w:p>
            <w:pPr>
              <w:spacing w:line="420" w:lineRule="exact"/>
              <w:jc w:val="center"/>
              <w:rPr>
                <w:rFonts w:ascii="仿宋" w:hAnsi="仿宋" w:eastAsia="仿宋" w:cs="宋体"/>
                <w:color w:val="auto"/>
                <w:sz w:val="28"/>
                <w:szCs w:val="28"/>
              </w:rPr>
            </w:pPr>
            <w:r>
              <w:rPr>
                <w:rFonts w:hint="eastAsia"/>
                <w:color w:val="auto"/>
                <w:sz w:val="28"/>
                <w:szCs w:val="28"/>
              </w:rPr>
              <w:t>（工种）名称</w:t>
            </w:r>
          </w:p>
        </w:tc>
        <w:tc>
          <w:tcPr>
            <w:tcW w:w="6453" w:type="dxa"/>
          </w:tcPr>
          <w:p>
            <w:pPr>
              <w:spacing w:line="420" w:lineRule="exact"/>
              <w:ind w:firstLine="560" w:firstLineChars="200"/>
              <w:rPr>
                <w:rFonts w:ascii="仿宋" w:hAnsi="仿宋" w:eastAsia="仿宋"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2" w:hRule="atLeast"/>
          <w:jc w:val="center"/>
        </w:trPr>
        <w:tc>
          <w:tcPr>
            <w:tcW w:w="2473" w:type="dxa"/>
            <w:vAlign w:val="center"/>
          </w:tcPr>
          <w:p>
            <w:pPr>
              <w:spacing w:line="420" w:lineRule="exact"/>
              <w:jc w:val="center"/>
              <w:rPr>
                <w:color w:val="auto"/>
                <w:sz w:val="28"/>
                <w:szCs w:val="28"/>
              </w:rPr>
            </w:pPr>
            <w:r>
              <w:rPr>
                <w:rFonts w:hint="eastAsia"/>
                <w:color w:val="auto"/>
                <w:sz w:val="28"/>
                <w:szCs w:val="28"/>
              </w:rPr>
              <w:t>企业设立特级技师</w:t>
            </w:r>
            <w:r>
              <w:rPr>
                <w:color w:val="auto"/>
                <w:sz w:val="28"/>
                <w:szCs w:val="28"/>
              </w:rPr>
              <w:t>/</w:t>
            </w:r>
            <w:r>
              <w:rPr>
                <w:rFonts w:hint="eastAsia"/>
                <w:color w:val="auto"/>
                <w:sz w:val="28"/>
                <w:szCs w:val="28"/>
              </w:rPr>
              <w:t>首席技师</w:t>
            </w:r>
          </w:p>
          <w:p>
            <w:pPr>
              <w:spacing w:line="420" w:lineRule="exact"/>
              <w:jc w:val="center"/>
              <w:rPr>
                <w:rFonts w:ascii="仿宋" w:hAnsi="仿宋" w:eastAsia="仿宋" w:cs="宋体"/>
                <w:color w:val="auto"/>
                <w:sz w:val="28"/>
                <w:szCs w:val="28"/>
              </w:rPr>
            </w:pPr>
            <w:r>
              <w:rPr>
                <w:rFonts w:hint="eastAsia"/>
                <w:color w:val="auto"/>
                <w:sz w:val="28"/>
                <w:szCs w:val="28"/>
              </w:rPr>
              <w:t>岗位背景情况</w:t>
            </w:r>
          </w:p>
        </w:tc>
        <w:tc>
          <w:tcPr>
            <w:tcW w:w="6453" w:type="dxa"/>
          </w:tcPr>
          <w:p>
            <w:pPr>
              <w:spacing w:line="420" w:lineRule="exact"/>
              <w:ind w:firstLine="560" w:firstLineChars="200"/>
              <w:rPr>
                <w:rFonts w:ascii="宋体" w:cs="宋体"/>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jc w:val="center"/>
        </w:trPr>
        <w:tc>
          <w:tcPr>
            <w:tcW w:w="2473" w:type="dxa"/>
            <w:vAlign w:val="center"/>
          </w:tcPr>
          <w:p>
            <w:pPr>
              <w:spacing w:line="420" w:lineRule="exact"/>
              <w:jc w:val="center"/>
              <w:rPr>
                <w:rFonts w:ascii="仿宋" w:hAnsi="仿宋" w:eastAsia="仿宋" w:cs="宋体"/>
                <w:color w:val="auto"/>
                <w:sz w:val="28"/>
                <w:szCs w:val="28"/>
              </w:rPr>
            </w:pPr>
            <w:r>
              <w:rPr>
                <w:rFonts w:hint="eastAsia"/>
                <w:color w:val="auto"/>
                <w:sz w:val="28"/>
                <w:szCs w:val="28"/>
              </w:rPr>
              <w:t>单位意见</w:t>
            </w:r>
          </w:p>
        </w:tc>
        <w:tc>
          <w:tcPr>
            <w:tcW w:w="6453" w:type="dxa"/>
          </w:tcPr>
          <w:p>
            <w:pPr>
              <w:rPr>
                <w:rFonts w:ascii="仿宋" w:hAnsi="仿宋" w:eastAsia="仿宋" w:cs="宋体"/>
                <w:color w:val="auto"/>
                <w:sz w:val="28"/>
                <w:szCs w:val="28"/>
              </w:rPr>
            </w:pPr>
          </w:p>
          <w:p>
            <w:pPr>
              <w:rPr>
                <w:color w:val="auto"/>
                <w:sz w:val="28"/>
                <w:szCs w:val="28"/>
              </w:rPr>
            </w:pPr>
            <w:r>
              <w:rPr>
                <w:color w:val="auto"/>
                <w:sz w:val="28"/>
                <w:szCs w:val="28"/>
              </w:rPr>
              <w:t xml:space="preserve">                </w:t>
            </w:r>
          </w:p>
          <w:p>
            <w:pPr>
              <w:ind w:firstLine="2660" w:firstLineChars="950"/>
              <w:rPr>
                <w:color w:val="auto"/>
                <w:sz w:val="28"/>
                <w:szCs w:val="28"/>
              </w:rPr>
            </w:pPr>
            <w:r>
              <w:rPr>
                <w:rFonts w:hint="eastAsia"/>
                <w:color w:val="auto"/>
                <w:sz w:val="28"/>
                <w:szCs w:val="28"/>
              </w:rPr>
              <w:t>（公章）</w:t>
            </w:r>
          </w:p>
          <w:p>
            <w:pPr>
              <w:ind w:firstLine="3220" w:firstLineChars="1150"/>
              <w:rPr>
                <w:rFonts w:ascii="仿宋" w:hAnsi="仿宋" w:eastAsia="仿宋" w:cs="宋体"/>
                <w:color w:val="auto"/>
                <w:sz w:val="28"/>
                <w:szCs w:val="28"/>
              </w:rPr>
            </w:pPr>
            <w:r>
              <w:rPr>
                <w:rFonts w:hint="eastAsia"/>
                <w:color w:val="auto"/>
                <w:sz w:val="28"/>
                <w:szCs w:val="28"/>
              </w:rPr>
              <w:t>年</w:t>
            </w:r>
            <w:r>
              <w:rPr>
                <w:color w:val="auto"/>
                <w:sz w:val="28"/>
                <w:szCs w:val="28"/>
              </w:rPr>
              <w:t xml:space="preserve">  </w:t>
            </w:r>
            <w:r>
              <w:rPr>
                <w:rFonts w:hint="eastAsia"/>
                <w:color w:val="auto"/>
                <w:sz w:val="28"/>
                <w:szCs w:val="28"/>
              </w:rPr>
              <w:t>月</w:t>
            </w:r>
            <w:r>
              <w:rPr>
                <w:color w:val="auto"/>
                <w:sz w:val="28"/>
                <w:szCs w:val="28"/>
              </w:rPr>
              <w:t xml:space="preserve">  </w:t>
            </w:r>
            <w:r>
              <w:rPr>
                <w:rFonts w:hint="eastAsia"/>
                <w:color w:val="auto"/>
                <w:sz w:val="28"/>
                <w:szCs w:val="28"/>
              </w:rPr>
              <w:t>日</w:t>
            </w:r>
          </w:p>
        </w:tc>
      </w:tr>
    </w:tbl>
    <w:p>
      <w:pPr>
        <w:rPr>
          <w:rFonts w:ascii="仿宋_GB2312" w:hAnsi="仿宋_GB2312" w:eastAsia="仿宋_GB2312" w:cs="仿宋_GB2312"/>
          <w:color w:val="auto"/>
          <w:sz w:val="24"/>
        </w:rPr>
        <w:sectPr>
          <w:pgSz w:w="11906" w:h="16838"/>
          <w:pgMar w:top="2098" w:right="1531" w:bottom="1814" w:left="1531" w:header="851" w:footer="1587" w:gutter="0"/>
          <w:cols w:space="0" w:num="1"/>
          <w:rtlGutter w:val="0"/>
          <w:docGrid w:type="lines" w:linePitch="312" w:charSpace="0"/>
        </w:sect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rPr>
          <w:rFonts w:ascii="仿宋_GB2312" w:hAnsi="仿宋_GB2312" w:eastAsia="仿宋_GB2312" w:cs="仿宋_GB2312"/>
          <w:color w:val="auto"/>
          <w:sz w:val="24"/>
        </w:rPr>
      </w:pPr>
    </w:p>
    <w:p>
      <w:pPr>
        <w:pStyle w:val="4"/>
        <w:ind w:left="0" w:leftChars="0" w:firstLine="0" w:firstLineChars="0"/>
        <w:rPr>
          <w:color w:val="auto"/>
        </w:rPr>
      </w:pPr>
    </w:p>
    <w:p>
      <w:pPr>
        <w:pStyle w:val="2"/>
        <w:rPr>
          <w:rFonts w:hint="eastAsia"/>
          <w:color w:val="auto"/>
        </w:rPr>
      </w:pPr>
    </w:p>
    <w:p>
      <w:pPr>
        <w:rPr>
          <w:rFonts w:eastAsia="仿宋_GB2312"/>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-4445</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35pt;height:0pt;width:442.2pt;z-index:251662336;mso-width-relative:page;mso-height-relative:page;" filled="f" stroked="t" coordsize="21600,21600" o:gfxdata="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3uvYF1AAAAAQBAAAPAAAAAAAAAAEAIAAAACIAAABkcnMv&#10;ZG93bnJldi54bWxQSwECFAAUAAAACACHTuJACfa+V84BAACOAwAADgAAAAAAAAABACAAAAAjAQAA&#10;ZHJzL2Uyb0RvYy54bWxQSwUGAAAAAAYABgBZAQAAYwU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3"/>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9.45pt;height:0pt;width:442.2pt;z-index:251661312;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KXIz+fNAQAAjgMAAA4AAAAAAAAAAQAgAAAAJQ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bookmarkStart w:id="0" w:name="_GoBack"/>
      <w:bookmarkEnd w:id="0"/>
      <w:r>
        <w:rPr>
          <w:rFonts w:hint="default" w:ascii="Times New Roman" w:hAnsi="Times New Roman" w:eastAsia="仿宋_GB2312" w:cs="Times New Roman"/>
          <w:color w:val="auto"/>
          <w:sz w:val="28"/>
          <w:szCs w:val="28"/>
        </w:rPr>
        <w:t xml:space="preserve"> 202</w:t>
      </w:r>
      <w:r>
        <w:rPr>
          <w:rFonts w:hint="default"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6</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28</w:t>
      </w:r>
      <w:r>
        <w:rPr>
          <w:rFonts w:hint="default" w:ascii="Times New Roman" w:hAnsi="Times New Roman" w:eastAsia="仿宋_GB2312" w:cs="Times New Roman"/>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0" w:leftChars="0" w:right="552" w:firstLine="280"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389890</wp:posOffset>
                </wp:positionV>
                <wp:extent cx="5615940" cy="0"/>
                <wp:effectExtent l="0" t="0" r="0" b="0"/>
                <wp:wrapNone/>
                <wp:docPr id="4"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7pt;height:0pt;width:442.2pt;z-index:251663360;mso-width-relative:page;mso-height-relative:page;" filled="f" stroked="t" coordsize="21600,21600" o:gfxdata="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&#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E2SWJ/VAAAABgEAAA8AAAAAAAAAAQAgAAAAIgAAAGRy&#10;cy9kb3ducmV2LnhtbFBLAQIUABQAAAAIAIdO4kAoR84TzwEAAI4DAAAOAAAAAAAAAAEAIAAAACQB&#10;AABkcnMvZTJvRG9jLnhtbFBLBQYAAAAABgAGAFkBAABl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黄竹青</w:t>
      </w:r>
    </w:p>
    <w:sectPr>
      <w:pgSz w:w="11906" w:h="16838"/>
      <w:pgMar w:top="2098" w:right="1531" w:bottom="1814" w:left="1531" w:header="851" w:footer="1587"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00000287" w:usb1="00000000" w:usb2="00000000" w:usb3="00000000" w:csb0="4000009F" w:csb1="DFD70000"/>
  </w:font>
  <w:font w:name="书体坊安景臣钢笔行书">
    <w:panose1 w:val="02010601030101010101"/>
    <w:charset w:val="86"/>
    <w:family w:val="auto"/>
    <w:pitch w:val="default"/>
    <w:sig w:usb0="00000001" w:usb1="080E0000" w:usb2="00000000" w:usb3="00000000" w:csb0="00040000" w:csb1="00000000"/>
  </w:font>
  <w:font w:name="书体坊雪纯体3500">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F5654"/>
    <w:multiLevelType w:val="singleLevel"/>
    <w:tmpl w:val="13DF5654"/>
    <w:lvl w:ilvl="0" w:tentative="0">
      <w:start w:val="2"/>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JiMTJlMjQ3YWUxNTQ5ZGM2NzQ2ZWEzYjY2YzFhZWUifQ=="/>
  </w:docVars>
  <w:rsids>
    <w:rsidRoot w:val="009817A1"/>
    <w:rsid w:val="000027C7"/>
    <w:rsid w:val="00005CAF"/>
    <w:rsid w:val="000533B2"/>
    <w:rsid w:val="000D4FC5"/>
    <w:rsid w:val="000D6170"/>
    <w:rsid w:val="000E23CF"/>
    <w:rsid w:val="00150847"/>
    <w:rsid w:val="00177112"/>
    <w:rsid w:val="001D40D4"/>
    <w:rsid w:val="001F08E9"/>
    <w:rsid w:val="00205778"/>
    <w:rsid w:val="00225987"/>
    <w:rsid w:val="00261205"/>
    <w:rsid w:val="0027002F"/>
    <w:rsid w:val="00270ABE"/>
    <w:rsid w:val="002712F4"/>
    <w:rsid w:val="002720A3"/>
    <w:rsid w:val="002837A7"/>
    <w:rsid w:val="002B06D1"/>
    <w:rsid w:val="002C261D"/>
    <w:rsid w:val="002C719F"/>
    <w:rsid w:val="00304820"/>
    <w:rsid w:val="003370CC"/>
    <w:rsid w:val="003609CD"/>
    <w:rsid w:val="00365620"/>
    <w:rsid w:val="003B157F"/>
    <w:rsid w:val="003C6120"/>
    <w:rsid w:val="003E0D65"/>
    <w:rsid w:val="00455498"/>
    <w:rsid w:val="004851CF"/>
    <w:rsid w:val="004B4D14"/>
    <w:rsid w:val="004C1C42"/>
    <w:rsid w:val="004E1794"/>
    <w:rsid w:val="00502609"/>
    <w:rsid w:val="00523383"/>
    <w:rsid w:val="00523F5B"/>
    <w:rsid w:val="005376BF"/>
    <w:rsid w:val="005747A8"/>
    <w:rsid w:val="005924CB"/>
    <w:rsid w:val="005B17E4"/>
    <w:rsid w:val="00620635"/>
    <w:rsid w:val="00685A34"/>
    <w:rsid w:val="007A513B"/>
    <w:rsid w:val="007D3A54"/>
    <w:rsid w:val="007E4D0E"/>
    <w:rsid w:val="0081734A"/>
    <w:rsid w:val="00821138"/>
    <w:rsid w:val="008B6D56"/>
    <w:rsid w:val="008C7E68"/>
    <w:rsid w:val="008D3E19"/>
    <w:rsid w:val="008F0040"/>
    <w:rsid w:val="008F6F85"/>
    <w:rsid w:val="0094653A"/>
    <w:rsid w:val="00955990"/>
    <w:rsid w:val="009731F0"/>
    <w:rsid w:val="009817A1"/>
    <w:rsid w:val="0098593D"/>
    <w:rsid w:val="00996DCA"/>
    <w:rsid w:val="009A1EFC"/>
    <w:rsid w:val="00A12BFC"/>
    <w:rsid w:val="00A2244A"/>
    <w:rsid w:val="00AA7BF2"/>
    <w:rsid w:val="00AC7CD5"/>
    <w:rsid w:val="00AF525D"/>
    <w:rsid w:val="00B23874"/>
    <w:rsid w:val="00B56382"/>
    <w:rsid w:val="00B961C4"/>
    <w:rsid w:val="00C02B0C"/>
    <w:rsid w:val="00C07D3C"/>
    <w:rsid w:val="00C32A71"/>
    <w:rsid w:val="00C45EBD"/>
    <w:rsid w:val="00C80283"/>
    <w:rsid w:val="00C80A03"/>
    <w:rsid w:val="00C87973"/>
    <w:rsid w:val="00CA1ABF"/>
    <w:rsid w:val="00CF713C"/>
    <w:rsid w:val="00D208FD"/>
    <w:rsid w:val="00D46B95"/>
    <w:rsid w:val="00D92B49"/>
    <w:rsid w:val="00DB47E8"/>
    <w:rsid w:val="00E0239A"/>
    <w:rsid w:val="00E37D5A"/>
    <w:rsid w:val="00EC30CC"/>
    <w:rsid w:val="00F213C1"/>
    <w:rsid w:val="00F61A58"/>
    <w:rsid w:val="00F70848"/>
    <w:rsid w:val="00F942AA"/>
    <w:rsid w:val="00FA411C"/>
    <w:rsid w:val="00FD6A9F"/>
    <w:rsid w:val="00FF7B63"/>
    <w:rsid w:val="01581876"/>
    <w:rsid w:val="021D04ED"/>
    <w:rsid w:val="02445A7A"/>
    <w:rsid w:val="03394EB3"/>
    <w:rsid w:val="03561F09"/>
    <w:rsid w:val="03F60FF6"/>
    <w:rsid w:val="05171224"/>
    <w:rsid w:val="051E4BD9"/>
    <w:rsid w:val="05A94BBE"/>
    <w:rsid w:val="05F332DC"/>
    <w:rsid w:val="06C673A5"/>
    <w:rsid w:val="06F16183"/>
    <w:rsid w:val="07530BED"/>
    <w:rsid w:val="07F50CEB"/>
    <w:rsid w:val="0851476E"/>
    <w:rsid w:val="086504F8"/>
    <w:rsid w:val="0925770E"/>
    <w:rsid w:val="0A2D00A2"/>
    <w:rsid w:val="0B776793"/>
    <w:rsid w:val="0C1D3971"/>
    <w:rsid w:val="0E0D58BA"/>
    <w:rsid w:val="0E5758F0"/>
    <w:rsid w:val="0FDA4E6A"/>
    <w:rsid w:val="10273FC5"/>
    <w:rsid w:val="10F4686C"/>
    <w:rsid w:val="12346BBC"/>
    <w:rsid w:val="12980264"/>
    <w:rsid w:val="12985925"/>
    <w:rsid w:val="12C56763"/>
    <w:rsid w:val="136C4E31"/>
    <w:rsid w:val="13F57BFC"/>
    <w:rsid w:val="14057548"/>
    <w:rsid w:val="144D65E3"/>
    <w:rsid w:val="15170DCC"/>
    <w:rsid w:val="15B50867"/>
    <w:rsid w:val="167C538B"/>
    <w:rsid w:val="172420F4"/>
    <w:rsid w:val="175348C5"/>
    <w:rsid w:val="18C66E6E"/>
    <w:rsid w:val="190061BF"/>
    <w:rsid w:val="193F08F1"/>
    <w:rsid w:val="198F5FE2"/>
    <w:rsid w:val="1AC148E7"/>
    <w:rsid w:val="1AF028B4"/>
    <w:rsid w:val="1B7E7E29"/>
    <w:rsid w:val="1C3217C2"/>
    <w:rsid w:val="1C36422E"/>
    <w:rsid w:val="1D8D0CDB"/>
    <w:rsid w:val="1DC10AB3"/>
    <w:rsid w:val="1DE624E5"/>
    <w:rsid w:val="1E27328D"/>
    <w:rsid w:val="1E5C7D9E"/>
    <w:rsid w:val="1E8B75DB"/>
    <w:rsid w:val="1E9D1C35"/>
    <w:rsid w:val="1EA72AAD"/>
    <w:rsid w:val="200D34F7"/>
    <w:rsid w:val="205A3400"/>
    <w:rsid w:val="21526C59"/>
    <w:rsid w:val="21E72C77"/>
    <w:rsid w:val="21EC5B0F"/>
    <w:rsid w:val="22443B73"/>
    <w:rsid w:val="230F048B"/>
    <w:rsid w:val="231129F3"/>
    <w:rsid w:val="233C481F"/>
    <w:rsid w:val="23BF2431"/>
    <w:rsid w:val="25115838"/>
    <w:rsid w:val="25853B30"/>
    <w:rsid w:val="2681079B"/>
    <w:rsid w:val="26AB5818"/>
    <w:rsid w:val="27D67706"/>
    <w:rsid w:val="27F21951"/>
    <w:rsid w:val="280B2A12"/>
    <w:rsid w:val="28C3509B"/>
    <w:rsid w:val="298068D7"/>
    <w:rsid w:val="299635F8"/>
    <w:rsid w:val="29E15392"/>
    <w:rsid w:val="2A2D0C47"/>
    <w:rsid w:val="2A385C74"/>
    <w:rsid w:val="2AC13BB4"/>
    <w:rsid w:val="2B08148B"/>
    <w:rsid w:val="2BEC4909"/>
    <w:rsid w:val="2D1E2D97"/>
    <w:rsid w:val="2E276D6E"/>
    <w:rsid w:val="2E6206A8"/>
    <w:rsid w:val="2ECB6A58"/>
    <w:rsid w:val="2EE21A82"/>
    <w:rsid w:val="2F3C7955"/>
    <w:rsid w:val="2F892F70"/>
    <w:rsid w:val="2FE82168"/>
    <w:rsid w:val="30073ABF"/>
    <w:rsid w:val="30092F03"/>
    <w:rsid w:val="308415B4"/>
    <w:rsid w:val="31D9148B"/>
    <w:rsid w:val="323D7021"/>
    <w:rsid w:val="325F001F"/>
    <w:rsid w:val="326C2300"/>
    <w:rsid w:val="329E3D36"/>
    <w:rsid w:val="33054D5E"/>
    <w:rsid w:val="335829B0"/>
    <w:rsid w:val="34234E6C"/>
    <w:rsid w:val="358C3E1D"/>
    <w:rsid w:val="36F25178"/>
    <w:rsid w:val="3790083E"/>
    <w:rsid w:val="379C3687"/>
    <w:rsid w:val="382A38D8"/>
    <w:rsid w:val="3837515E"/>
    <w:rsid w:val="386A5533"/>
    <w:rsid w:val="38864C2A"/>
    <w:rsid w:val="391A65BB"/>
    <w:rsid w:val="39A150F8"/>
    <w:rsid w:val="3A0E6F29"/>
    <w:rsid w:val="3B902ED6"/>
    <w:rsid w:val="3C834E15"/>
    <w:rsid w:val="3C8C0DEF"/>
    <w:rsid w:val="3D051982"/>
    <w:rsid w:val="3D917DBB"/>
    <w:rsid w:val="3DF5764D"/>
    <w:rsid w:val="3E4403A1"/>
    <w:rsid w:val="3E8C358E"/>
    <w:rsid w:val="3EBC016B"/>
    <w:rsid w:val="3F141D55"/>
    <w:rsid w:val="3F990F0D"/>
    <w:rsid w:val="403905AF"/>
    <w:rsid w:val="414F79C3"/>
    <w:rsid w:val="42587720"/>
    <w:rsid w:val="428A4A0D"/>
    <w:rsid w:val="42E03127"/>
    <w:rsid w:val="42F26851"/>
    <w:rsid w:val="442273B7"/>
    <w:rsid w:val="445D39F9"/>
    <w:rsid w:val="44651F6F"/>
    <w:rsid w:val="45CC49DA"/>
    <w:rsid w:val="46911EDD"/>
    <w:rsid w:val="46B87139"/>
    <w:rsid w:val="47975713"/>
    <w:rsid w:val="47D803D2"/>
    <w:rsid w:val="48494F83"/>
    <w:rsid w:val="48B2162B"/>
    <w:rsid w:val="4A05330E"/>
    <w:rsid w:val="4A38723F"/>
    <w:rsid w:val="4AF8475C"/>
    <w:rsid w:val="4B7047B7"/>
    <w:rsid w:val="4BC3391C"/>
    <w:rsid w:val="4C433C79"/>
    <w:rsid w:val="4C972C0B"/>
    <w:rsid w:val="4C9C31B1"/>
    <w:rsid w:val="4D074E91"/>
    <w:rsid w:val="4DBA6589"/>
    <w:rsid w:val="4DD454D1"/>
    <w:rsid w:val="4E672144"/>
    <w:rsid w:val="4E9B7D9D"/>
    <w:rsid w:val="4F177924"/>
    <w:rsid w:val="4F626B0C"/>
    <w:rsid w:val="501A1195"/>
    <w:rsid w:val="50257180"/>
    <w:rsid w:val="507D6E7C"/>
    <w:rsid w:val="51D90560"/>
    <w:rsid w:val="5221680B"/>
    <w:rsid w:val="526B3F2A"/>
    <w:rsid w:val="5281374D"/>
    <w:rsid w:val="52AE58DC"/>
    <w:rsid w:val="536E33AD"/>
    <w:rsid w:val="53D37CCA"/>
    <w:rsid w:val="550D13B7"/>
    <w:rsid w:val="55326F81"/>
    <w:rsid w:val="55A90FF1"/>
    <w:rsid w:val="55C974A6"/>
    <w:rsid w:val="567710EF"/>
    <w:rsid w:val="584C035A"/>
    <w:rsid w:val="58825949"/>
    <w:rsid w:val="58876AA7"/>
    <w:rsid w:val="58E92C36"/>
    <w:rsid w:val="58F26D01"/>
    <w:rsid w:val="591470C9"/>
    <w:rsid w:val="59875AED"/>
    <w:rsid w:val="5A67192E"/>
    <w:rsid w:val="5B050373"/>
    <w:rsid w:val="5B5E287E"/>
    <w:rsid w:val="5BE70AC5"/>
    <w:rsid w:val="5BF94355"/>
    <w:rsid w:val="5C186ED1"/>
    <w:rsid w:val="5C492266"/>
    <w:rsid w:val="5DAD4F7F"/>
    <w:rsid w:val="5E91682F"/>
    <w:rsid w:val="5EBB1D95"/>
    <w:rsid w:val="5F872957"/>
    <w:rsid w:val="5FF11F12"/>
    <w:rsid w:val="61271132"/>
    <w:rsid w:val="619F722C"/>
    <w:rsid w:val="61FA3EC6"/>
    <w:rsid w:val="6225293F"/>
    <w:rsid w:val="62D432D8"/>
    <w:rsid w:val="62EC717B"/>
    <w:rsid w:val="63A56D73"/>
    <w:rsid w:val="63C014D9"/>
    <w:rsid w:val="63CB28FA"/>
    <w:rsid w:val="63D336DD"/>
    <w:rsid w:val="64430863"/>
    <w:rsid w:val="64542A70"/>
    <w:rsid w:val="662F72F1"/>
    <w:rsid w:val="67B144F7"/>
    <w:rsid w:val="681C1AF7"/>
    <w:rsid w:val="68614D76"/>
    <w:rsid w:val="68B91551"/>
    <w:rsid w:val="691C1682"/>
    <w:rsid w:val="69AC0C58"/>
    <w:rsid w:val="69C235D7"/>
    <w:rsid w:val="6A40374C"/>
    <w:rsid w:val="6A4315BC"/>
    <w:rsid w:val="6AF438BD"/>
    <w:rsid w:val="6B4C07EA"/>
    <w:rsid w:val="6B776E59"/>
    <w:rsid w:val="6BFF1C78"/>
    <w:rsid w:val="6CDC1854"/>
    <w:rsid w:val="6D702BDA"/>
    <w:rsid w:val="6D7F5D6C"/>
    <w:rsid w:val="6DBE238D"/>
    <w:rsid w:val="6DF3686F"/>
    <w:rsid w:val="6E2C55EA"/>
    <w:rsid w:val="6E597B85"/>
    <w:rsid w:val="6FCD1928"/>
    <w:rsid w:val="70314383"/>
    <w:rsid w:val="70F63A51"/>
    <w:rsid w:val="71681909"/>
    <w:rsid w:val="7172737E"/>
    <w:rsid w:val="7173717B"/>
    <w:rsid w:val="71BE777B"/>
    <w:rsid w:val="71D430FC"/>
    <w:rsid w:val="71D609E2"/>
    <w:rsid w:val="71F94C57"/>
    <w:rsid w:val="730200B6"/>
    <w:rsid w:val="7305235D"/>
    <w:rsid w:val="73834A99"/>
    <w:rsid w:val="73B057E9"/>
    <w:rsid w:val="73B928EF"/>
    <w:rsid w:val="73CF2DDF"/>
    <w:rsid w:val="73F97190"/>
    <w:rsid w:val="745C2331"/>
    <w:rsid w:val="74CF7931"/>
    <w:rsid w:val="750A2CD7"/>
    <w:rsid w:val="75E65A97"/>
    <w:rsid w:val="75F9331B"/>
    <w:rsid w:val="766E6AD7"/>
    <w:rsid w:val="767825EE"/>
    <w:rsid w:val="76A20C53"/>
    <w:rsid w:val="775F062D"/>
    <w:rsid w:val="77F35087"/>
    <w:rsid w:val="790068A3"/>
    <w:rsid w:val="796A1DE5"/>
    <w:rsid w:val="799F60E4"/>
    <w:rsid w:val="79DA7E36"/>
    <w:rsid w:val="7ABE593D"/>
    <w:rsid w:val="7ABED51F"/>
    <w:rsid w:val="7BA14395"/>
    <w:rsid w:val="7BD27DCF"/>
    <w:rsid w:val="7C237E3D"/>
    <w:rsid w:val="7CBF3878"/>
    <w:rsid w:val="7E171F0F"/>
    <w:rsid w:val="7EBE0DBA"/>
    <w:rsid w:val="7F402117"/>
    <w:rsid w:val="7F4219EB"/>
    <w:rsid w:val="7FD85EAB"/>
    <w:rsid w:val="7FE707E4"/>
    <w:rsid w:val="AFFE9618"/>
    <w:rsid w:val="BEEF3A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qFormat="1"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ocked="1"/>
    <w:lsdException w:qFormat="1" w:unhideWhenUsed="0" w:uiPriority="99" w:semiHidden="0" w:name="Balloon Text"/>
    <w:lsdException w:uiPriority="0" w:name="Table Grid" w:locked="1"/>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character" w:default="1" w:styleId="8">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footnote text"/>
    <w:basedOn w:val="1"/>
    <w:next w:val="3"/>
    <w:unhideWhenUsed/>
    <w:qFormat/>
    <w:uiPriority w:val="99"/>
    <w:pPr>
      <w:snapToGrid w:val="0"/>
      <w:jc w:val="left"/>
    </w:p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4">
    <w:name w:val="Normal Indent"/>
    <w:basedOn w:val="1"/>
    <w:unhideWhenUsed/>
    <w:uiPriority w:val="99"/>
    <w:pPr>
      <w:ind w:firstLine="420" w:firstLineChars="200"/>
    </w:pPr>
    <w:rPr>
      <w:rFonts w:ascii="Times New Roman" w:hAnsi="Times New Roman"/>
    </w:rPr>
  </w:style>
  <w:style w:type="paragraph" w:styleId="5">
    <w:name w:val="Balloon Text"/>
    <w:basedOn w:val="1"/>
    <w:link w:val="11"/>
    <w:qFormat/>
    <w:uiPriority w:val="99"/>
    <w:rPr>
      <w:sz w:val="18"/>
      <w:szCs w:val="18"/>
    </w:rPr>
  </w:style>
  <w:style w:type="paragraph" w:styleId="6">
    <w:name w:val="footer"/>
    <w:basedOn w:val="1"/>
    <w:link w:val="12"/>
    <w:qFormat/>
    <w:uiPriority w:val="99"/>
    <w:pPr>
      <w:tabs>
        <w:tab w:val="center" w:pos="4153"/>
        <w:tab w:val="right" w:pos="8306"/>
      </w:tabs>
      <w:snapToGrid w:val="0"/>
      <w:jc w:val="left"/>
    </w:pPr>
    <w:rPr>
      <w:sz w:val="18"/>
      <w:szCs w:val="18"/>
    </w:rPr>
  </w:style>
  <w:style w:type="paragraph" w:styleId="7">
    <w:name w:val="Normal (Web)"/>
    <w:basedOn w:val="1"/>
    <w:qFormat/>
    <w:uiPriority w:val="99"/>
    <w:pPr>
      <w:spacing w:beforeAutospacing="1" w:afterAutospacing="1"/>
      <w:jc w:val="left"/>
    </w:pPr>
    <w:rPr>
      <w:kern w:val="0"/>
      <w:sz w:val="24"/>
    </w:rPr>
  </w:style>
  <w:style w:type="character" w:styleId="9">
    <w:name w:val="Strong"/>
    <w:basedOn w:val="8"/>
    <w:qFormat/>
    <w:uiPriority w:val="99"/>
    <w:rPr>
      <w:rFonts w:cs="Times New Roman"/>
      <w:b/>
    </w:rPr>
  </w:style>
  <w:style w:type="character" w:customStyle="1" w:styleId="11">
    <w:name w:val="批注框文本 Char"/>
    <w:basedOn w:val="8"/>
    <w:link w:val="5"/>
    <w:qFormat/>
    <w:locked/>
    <w:uiPriority w:val="99"/>
    <w:rPr>
      <w:rFonts w:ascii="Calibri" w:hAnsi="Calibri" w:eastAsia="宋体" w:cs="Times New Roman"/>
      <w:kern w:val="2"/>
      <w:sz w:val="18"/>
      <w:szCs w:val="18"/>
    </w:rPr>
  </w:style>
  <w:style w:type="character" w:customStyle="1" w:styleId="12">
    <w:name w:val="页脚 Char"/>
    <w:basedOn w:val="8"/>
    <w:link w:val="6"/>
    <w:qFormat/>
    <w:locked/>
    <w:uiPriority w:val="99"/>
    <w:rPr>
      <w:rFonts w:ascii="Calibri" w:hAnsi="Calibri" w:eastAsia="宋体" w:cs="Times New Roman"/>
      <w:kern w:val="2"/>
      <w:sz w:val="18"/>
      <w:szCs w:val="18"/>
    </w:rPr>
  </w:style>
  <w:style w:type="character" w:customStyle="1" w:styleId="13">
    <w:name w:val="页眉 Char"/>
    <w:basedOn w:val="8"/>
    <w:link w:val="3"/>
    <w:qFormat/>
    <w:locked/>
    <w:uiPriority w:val="99"/>
    <w:rPr>
      <w:rFonts w:ascii="Calibri" w:hAnsi="Calibri" w:eastAsia="宋体" w:cs="Times New Roman"/>
      <w:kern w:val="2"/>
      <w:sz w:val="18"/>
      <w:szCs w:val="18"/>
    </w:rPr>
  </w:style>
  <w:style w:type="table" w:customStyle="1" w:styleId="14">
    <w:name w:val="Table Normal1"/>
    <w:semiHidden/>
    <w:qFormat/>
    <w:uiPriority w:val="99"/>
    <w:tblPr>
      <w:tblLayout w:type="fixed"/>
      <w:tblCellMar>
        <w:top w:w="0" w:type="dxa"/>
        <w:left w:w="0" w:type="dxa"/>
        <w:bottom w:w="0" w:type="dxa"/>
        <w:right w:w="0" w:type="dxa"/>
      </w:tblCellMar>
    </w:tblPr>
  </w:style>
  <w:style w:type="paragraph" w:customStyle="1" w:styleId="15">
    <w:name w:val="Revision1"/>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4011</Words>
  <Characters>4026</Characters>
  <Lines>30</Lines>
  <Paragraphs>8</Paragraphs>
  <ScaleCrop>false</ScaleCrop>
  <LinksUpToDate>false</LinksUpToDate>
  <CharactersWithSpaces>4143</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2023-06-05T08:59:00Z</dcterms:created>
  <dc:creator>Administrator</dc:creator>
  <cp:lastModifiedBy>LTGX04</cp:lastModifiedBy>
  <cp:lastPrinted>2023-06-22T16:48:00Z</cp:lastPrinted>
  <dcterms:modified xsi:type="dcterms:W3CDTF">2023-06-28T02:18:30Z</dcterms:modified>
  <dc:title>山东省人力资源和社会保障厅</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343944B015634A89996A1C02A025821A</vt:lpwstr>
  </property>
</Properties>
</file>