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line="560" w:lineRule="exact"/>
        <w:rPr>
          <w:rFonts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附件1</w:t>
      </w:r>
      <w:r>
        <w:rPr>
          <w:rFonts w:hint="eastAsia" w:ascii="黑体" w:hAnsi="黑体" w:eastAsia="黑体" w:cs="黑体"/>
          <w:bCs/>
          <w:color w:val="000000"/>
          <w:sz w:val="32"/>
          <w:szCs w:val="32"/>
          <w:shd w:val="clear" w:color="auto" w:fill="FFFFFF"/>
        </w:rPr>
        <w:tab/>
      </w:r>
      <w:r>
        <w:rPr>
          <w:rFonts w:hint="eastAsia" w:ascii="黑体" w:hAnsi="黑体" w:eastAsia="黑体" w:cs="黑体"/>
          <w:bCs/>
          <w:color w:val="000000"/>
          <w:sz w:val="32"/>
          <w:szCs w:val="32"/>
          <w:shd w:val="clear" w:color="auto" w:fill="FFFFFF"/>
        </w:rPr>
        <w:tab/>
      </w:r>
      <w:r>
        <w:rPr>
          <w:rFonts w:hint="eastAsia" w:ascii="黑体" w:hAnsi="黑体" w:eastAsia="黑体" w:cs="黑体"/>
          <w:bCs/>
          <w:color w:val="000000"/>
          <w:sz w:val="32"/>
          <w:szCs w:val="32"/>
          <w:shd w:val="clear" w:color="auto" w:fill="FFFFFF"/>
        </w:rPr>
        <w:tab/>
      </w:r>
      <w:r>
        <w:rPr>
          <w:rFonts w:hint="eastAsia" w:ascii="黑体" w:hAnsi="黑体" w:eastAsia="黑体" w:cs="黑体"/>
          <w:bCs/>
          <w:color w:val="000000"/>
          <w:sz w:val="32"/>
          <w:szCs w:val="32"/>
          <w:shd w:val="clear" w:color="auto" w:fill="FFFFFF"/>
        </w:rPr>
        <w:tab/>
      </w:r>
      <w:r>
        <w:rPr>
          <w:rFonts w:hint="eastAsia" w:ascii="黑体" w:hAnsi="黑体" w:eastAsia="黑体" w:cs="黑体"/>
          <w:bCs/>
          <w:color w:val="000000"/>
          <w:sz w:val="32"/>
          <w:szCs w:val="32"/>
          <w:shd w:val="clear" w:color="auto" w:fill="FFFFFF"/>
        </w:rPr>
        <w:tab/>
      </w:r>
      <w:r>
        <w:rPr>
          <w:rFonts w:hint="eastAsia" w:ascii="黑体" w:hAnsi="黑体" w:eastAsia="黑体" w:cs="黑体"/>
          <w:bCs/>
          <w:color w:val="000000"/>
          <w:sz w:val="32"/>
          <w:szCs w:val="32"/>
          <w:shd w:val="clear" w:color="auto" w:fill="FFFFFF"/>
        </w:rPr>
        <w:tab/>
      </w:r>
      <w:r>
        <w:rPr>
          <w:rFonts w:hint="eastAsia" w:ascii="黑体" w:hAnsi="黑体" w:eastAsia="黑体" w:cs="黑体"/>
          <w:bCs/>
          <w:color w:val="000000"/>
          <w:sz w:val="32"/>
          <w:szCs w:val="32"/>
          <w:shd w:val="clear" w:color="auto" w:fill="FFFFFF"/>
        </w:rPr>
        <w:tab/>
      </w:r>
      <w:r>
        <w:rPr>
          <w:rFonts w:hint="eastAsia" w:ascii="黑体" w:hAnsi="黑体" w:eastAsia="黑体" w:cs="黑体"/>
          <w:bCs/>
          <w:color w:val="000000"/>
          <w:sz w:val="32"/>
          <w:szCs w:val="32"/>
          <w:shd w:val="clear" w:color="auto" w:fill="FFFFFF"/>
        </w:rPr>
        <w:tab/>
      </w:r>
      <w:r>
        <w:rPr>
          <w:rFonts w:hint="eastAsia" w:ascii="黑体" w:hAnsi="黑体" w:eastAsia="黑体" w:cs="黑体"/>
          <w:bCs/>
          <w:color w:val="000000"/>
          <w:sz w:val="32"/>
          <w:szCs w:val="32"/>
          <w:shd w:val="clear" w:color="auto" w:fill="FFFFFF"/>
        </w:rPr>
        <w:tab/>
      </w:r>
      <w:r>
        <w:rPr>
          <w:rFonts w:hint="eastAsia" w:ascii="黑体" w:hAnsi="黑体" w:eastAsia="黑体" w:cs="黑体"/>
          <w:bCs/>
          <w:color w:val="000000"/>
          <w:sz w:val="32"/>
          <w:szCs w:val="32"/>
          <w:shd w:val="clear" w:color="auto" w:fill="FFFFFF"/>
        </w:rPr>
        <w:tab/>
      </w:r>
      <w:r>
        <w:rPr>
          <w:rFonts w:hint="eastAsia" w:ascii="黑体" w:hAnsi="黑体" w:eastAsia="黑体" w:cs="黑体"/>
          <w:bCs/>
          <w:color w:val="000000"/>
          <w:sz w:val="32"/>
          <w:szCs w:val="32"/>
          <w:shd w:val="clear" w:color="auto" w:fill="FFFFFF"/>
        </w:rPr>
        <w:tab/>
      </w:r>
      <w:r>
        <w:rPr>
          <w:rFonts w:hint="eastAsia" w:ascii="黑体" w:hAnsi="黑体" w:eastAsia="黑体" w:cs="黑体"/>
          <w:bCs/>
          <w:color w:val="000000"/>
          <w:sz w:val="32"/>
          <w:szCs w:val="32"/>
          <w:shd w:val="clear" w:color="auto" w:fill="FFFFFF"/>
        </w:rPr>
        <w:tab/>
      </w:r>
    </w:p>
    <w:p>
      <w:pPr>
        <w:pStyle w:val="5"/>
        <w:widowControl/>
        <w:shd w:val="clear" w:color="auto" w:fill="FFFFFF"/>
        <w:spacing w:line="560" w:lineRule="exact"/>
        <w:jc w:val="center"/>
        <w:rPr>
          <w:rFonts w:ascii="方正小标宋简体" w:hAnsi="黑体" w:eastAsia="方正小标宋简体" w:cs="黑体"/>
          <w:bCs/>
          <w:color w:val="000000"/>
          <w:sz w:val="44"/>
          <w:szCs w:val="44"/>
          <w:shd w:val="clear" w:color="auto" w:fill="FFFFFF"/>
        </w:rPr>
      </w:pPr>
      <w:r>
        <w:rPr>
          <w:rFonts w:hint="eastAsia" w:ascii="方正小标宋简体" w:hAnsi="黑体" w:eastAsia="方正小标宋简体" w:cs="黑体"/>
          <w:bCs/>
          <w:color w:val="000000"/>
          <w:sz w:val="44"/>
          <w:szCs w:val="44"/>
          <w:shd w:val="clear" w:color="auto" w:fill="FFFFFF"/>
        </w:rPr>
        <w:t>广西医疗服务项目价格表（口腔种植类）（试行）</w:t>
      </w:r>
    </w:p>
    <w:p>
      <w:pPr>
        <w:pStyle w:val="5"/>
        <w:widowControl/>
        <w:shd w:val="clear" w:color="auto" w:fill="FFFFFF"/>
        <w:spacing w:before="0" w:beforeAutospacing="0" w:after="0" w:afterAutospacing="0" w:line="540" w:lineRule="exact"/>
        <w:rPr>
          <w:rFonts w:ascii="仿宋_GB2312" w:hAnsi="黑体" w:eastAsia="仿宋_GB2312" w:cs="黑体"/>
          <w:bCs/>
          <w:color w:val="000000"/>
          <w:shd w:val="clear" w:color="auto" w:fill="FFFFFF"/>
        </w:rPr>
      </w:pPr>
      <w:r>
        <w:rPr>
          <w:rFonts w:hint="eastAsia" w:ascii="仿宋_GB2312" w:hAnsi="黑体" w:eastAsia="仿宋_GB2312" w:cs="黑体"/>
          <w:bCs/>
          <w:color w:val="000000"/>
          <w:shd w:val="clear" w:color="auto" w:fill="FFFFFF"/>
        </w:rPr>
        <w:t>说明：</w:t>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p>
    <w:p>
      <w:pPr>
        <w:pStyle w:val="5"/>
        <w:widowControl/>
        <w:shd w:val="clear" w:color="auto" w:fill="FFFFFF"/>
        <w:spacing w:before="0" w:beforeAutospacing="0" w:after="0" w:afterAutospacing="0" w:line="540" w:lineRule="exact"/>
        <w:rPr>
          <w:rFonts w:ascii="仿宋_GB2312" w:hAnsi="黑体" w:eastAsia="仿宋_GB2312" w:cs="黑体"/>
          <w:bCs/>
          <w:color w:val="000000"/>
          <w:shd w:val="clear" w:color="auto" w:fill="FFFFFF"/>
        </w:rPr>
      </w:pPr>
      <w:r>
        <w:rPr>
          <w:rFonts w:hint="eastAsia" w:ascii="仿宋_GB2312" w:hAnsi="黑体" w:eastAsia="仿宋_GB2312" w:cs="黑体"/>
          <w:bCs/>
          <w:color w:val="000000"/>
          <w:shd w:val="clear" w:color="auto" w:fill="FFFFFF"/>
        </w:rPr>
        <w:t>1.本表格所指植入体为种植体、基台等植入牙床、包裹在牙龈内的医用耗材，置入体是指种植牙冠、义齿等安置在口腔内、暴露在牙龈之外，不与人体组织直接结合的医用耗材。</w:t>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p>
    <w:p>
      <w:pPr>
        <w:pStyle w:val="5"/>
        <w:widowControl/>
        <w:shd w:val="clear" w:color="auto" w:fill="FFFFFF"/>
        <w:spacing w:before="0" w:beforeAutospacing="0" w:after="0" w:afterAutospacing="0" w:line="540" w:lineRule="exact"/>
        <w:rPr>
          <w:rFonts w:ascii="仿宋_GB2312" w:hAnsi="黑体" w:eastAsia="仿宋_GB2312" w:cs="黑体"/>
          <w:bCs/>
          <w:color w:val="000000"/>
          <w:shd w:val="clear" w:color="auto" w:fill="FFFFFF"/>
        </w:rPr>
      </w:pPr>
      <w:r>
        <w:rPr>
          <w:rFonts w:hint="eastAsia" w:ascii="仿宋_GB2312" w:hAnsi="黑体" w:eastAsia="仿宋_GB2312" w:cs="黑体"/>
          <w:bCs/>
          <w:color w:val="000000"/>
          <w:shd w:val="clear" w:color="auto" w:fill="FFFFFF"/>
        </w:rPr>
        <w:t>2.本表格所称“项目内涵”，指制定项目价格应涵盖的各类资源消耗，用于确定计价单元的边界，不应作为临床技术标准理解，不是医疗服务实际操作方式、路径、步骤、程序的强制性要求。医疗机构提供服务时，内涵中个别要素因患者个体差异可以不发生的，应允许医疗机构收费适用相应的项目和价格政策，另有政策规定的除外。</w:t>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p>
    <w:p>
      <w:pPr>
        <w:pStyle w:val="5"/>
        <w:widowControl/>
        <w:shd w:val="clear" w:color="auto" w:fill="FFFFFF"/>
        <w:spacing w:before="0" w:beforeAutospacing="0" w:after="0" w:afterAutospacing="0" w:line="540" w:lineRule="exact"/>
        <w:rPr>
          <w:rFonts w:ascii="仿宋_GB2312" w:hAnsi="黑体" w:eastAsia="仿宋_GB2312" w:cs="黑体"/>
          <w:bCs/>
          <w:color w:val="000000"/>
          <w:shd w:val="clear" w:color="auto" w:fill="FFFFFF"/>
        </w:rPr>
      </w:pPr>
      <w:r>
        <w:rPr>
          <w:rFonts w:hint="eastAsia" w:ascii="仿宋_GB2312" w:hAnsi="黑体" w:eastAsia="仿宋_GB2312" w:cs="黑体"/>
          <w:bCs/>
          <w:color w:val="000000"/>
          <w:shd w:val="clear" w:color="auto" w:fill="FFFFFF"/>
        </w:rPr>
        <w:t>3.本表格所称“基本物耗”指原则上限于不应或不必要与医疗服务项目分割的易耗品，包括但不限于各类消杀用品、储存用品、清洁用品、个人防护用品、垃圾处理用品、试戴材料、铸造包埋材、义齿清洁材料、牙科分离剂、模型材料、蜡型材料、车针、排龈材料、菌斑指示剂、义齿稳固剂、印模材料、咬合记录材料、咬合检查材料、研磨抛光材料、冲洗液、润滑剂、灌洗液、棉球、棉签、纱布（垫）、护垫、衬垫、手术巾（单）、治疗巾（单）、治疗护理盘(包）、注射器、压舌板、滑石粉、防渗漏垫、标签、操作器具、冲洗工具。基本物耗成本计入项目价格，不另行收费。除基本物耗以外的其他耗材，按照实际采购价格零差率销售。</w:t>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p>
    <w:p>
      <w:pPr>
        <w:pStyle w:val="5"/>
        <w:widowControl/>
        <w:shd w:val="clear" w:color="auto" w:fill="FFFFFF"/>
        <w:spacing w:before="0" w:beforeAutospacing="0" w:after="0" w:afterAutospacing="0" w:line="540" w:lineRule="exact"/>
        <w:rPr>
          <w:rFonts w:ascii="仿宋_GB2312" w:hAnsi="黑体" w:eastAsia="仿宋_GB2312" w:cs="黑体"/>
          <w:bCs/>
          <w:color w:val="000000"/>
          <w:shd w:val="clear" w:color="auto" w:fill="FFFFFF"/>
        </w:rPr>
      </w:pPr>
      <w:r>
        <w:rPr>
          <w:rFonts w:hint="eastAsia" w:ascii="仿宋_GB2312" w:hAnsi="黑体" w:eastAsia="仿宋_GB2312" w:cs="黑体"/>
          <w:bCs/>
          <w:color w:val="000000"/>
          <w:shd w:val="clear" w:color="auto" w:fill="FFFFFF"/>
        </w:rPr>
        <w:t>4.即刻种植指拔牙或牙齿缺失当日完成种植体植入的情况；即刻修复指种植体植入后1周以内完成牙冠置入的情形。</w:t>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p>
    <w:p>
      <w:pPr>
        <w:pStyle w:val="5"/>
        <w:widowControl/>
        <w:shd w:val="clear" w:color="auto" w:fill="FFFFFF"/>
        <w:spacing w:before="0" w:beforeAutospacing="0" w:after="0" w:afterAutospacing="0" w:line="540" w:lineRule="exact"/>
        <w:rPr>
          <w:rFonts w:ascii="仿宋_GB2312" w:hAnsi="黑体" w:eastAsia="仿宋_GB2312" w:cs="黑体"/>
          <w:bCs/>
          <w:color w:val="000000"/>
          <w:shd w:val="clear" w:color="auto" w:fill="FFFFFF"/>
        </w:rPr>
      </w:pPr>
      <w:r>
        <w:rPr>
          <w:rFonts w:hint="eastAsia" w:ascii="仿宋_GB2312" w:hAnsi="黑体" w:eastAsia="仿宋_GB2312" w:cs="黑体"/>
          <w:bCs/>
          <w:color w:val="000000"/>
          <w:shd w:val="clear" w:color="auto" w:fill="FFFFFF"/>
        </w:rPr>
        <w:t>5.医疗机构应对本院施治的口腔内牙齿缺失植入体、置入体进行保质保修，保修范围内出现损坏，医疗机构应免费进行修理、再制作，不得向患者收费。</w:t>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p>
    <w:p>
      <w:pPr>
        <w:pStyle w:val="5"/>
        <w:widowControl/>
        <w:shd w:val="clear" w:color="auto" w:fill="FFFFFF"/>
        <w:spacing w:before="0" w:beforeAutospacing="0" w:after="0" w:afterAutospacing="0" w:line="540" w:lineRule="exact"/>
        <w:rPr>
          <w:rFonts w:ascii="仿宋_GB2312" w:hAnsi="黑体" w:eastAsia="仿宋_GB2312" w:cs="黑体"/>
          <w:bCs/>
          <w:color w:val="000000"/>
          <w:shd w:val="clear" w:color="auto" w:fill="FFFFFF"/>
        </w:rPr>
      </w:pPr>
      <w:r>
        <w:rPr>
          <w:rFonts w:hint="eastAsia" w:ascii="仿宋_GB2312" w:hAnsi="黑体" w:eastAsia="仿宋_GB2312" w:cs="黑体"/>
          <w:bCs/>
          <w:color w:val="000000"/>
          <w:shd w:val="clear" w:color="auto" w:fill="FFFFFF"/>
        </w:rPr>
        <w:t>6.本表格所列的口腔医学3D项目，是指为口腔种植手术方案设计、导航定位等提供辅助的服务。医疗机构自行制作牙冠所进行的3D扫描设计、打印切削，以及翻模精修、烧结上釉、上色调改等具体操作，作为成本要素计入种植牙牙冠价格，不再将上述牙冠加工制作的具体操作步骤作为医疗服务价格项目向患者收费。</w:t>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r>
        <w:rPr>
          <w:rFonts w:hint="eastAsia" w:ascii="仿宋_GB2312" w:hAnsi="黑体" w:eastAsia="仿宋_GB2312" w:cs="黑体"/>
          <w:bCs/>
          <w:color w:val="000000"/>
          <w:shd w:val="clear" w:color="auto" w:fill="FFFFFF"/>
        </w:rPr>
        <w:tab/>
      </w:r>
    </w:p>
    <w:p>
      <w:pPr>
        <w:pStyle w:val="5"/>
        <w:widowControl/>
        <w:shd w:val="clear" w:color="auto" w:fill="FFFFFF"/>
        <w:spacing w:before="0" w:beforeAutospacing="0" w:after="0" w:afterAutospacing="0" w:line="540" w:lineRule="exact"/>
        <w:rPr>
          <w:rFonts w:ascii="仿宋_GB2312" w:hAnsi="黑体" w:eastAsia="仿宋_GB2312" w:cs="黑体"/>
          <w:bCs/>
          <w:color w:val="000000"/>
          <w:shd w:val="clear" w:color="auto" w:fill="FFFFFF"/>
        </w:rPr>
      </w:pPr>
      <w:r>
        <w:rPr>
          <w:rFonts w:hint="eastAsia" w:ascii="仿宋_GB2312" w:hAnsi="黑体" w:eastAsia="仿宋_GB2312" w:cs="黑体"/>
          <w:bCs/>
          <w:color w:val="000000"/>
          <w:shd w:val="clear" w:color="auto" w:fill="FFFFFF"/>
        </w:rPr>
        <w:t>7.政策衔接：口腔种植是一个周期较长的治疗过程，为做好政策衔接，在本通知出台前尚未完成全过程口腔种植治疗的，按口腔种植治疗完成阶段执行价格政策，具体如下：</w:t>
      </w:r>
    </w:p>
    <w:p>
      <w:pPr>
        <w:pStyle w:val="5"/>
        <w:widowControl/>
        <w:shd w:val="clear" w:color="auto" w:fill="FFFFFF"/>
        <w:spacing w:before="0" w:beforeAutospacing="0" w:after="0" w:afterAutospacing="0" w:line="540" w:lineRule="exact"/>
        <w:rPr>
          <w:rFonts w:ascii="仿宋_GB2312" w:hAnsi="黑体" w:eastAsia="仿宋_GB2312" w:cs="黑体"/>
          <w:bCs/>
          <w:color w:val="000000"/>
          <w:shd w:val="clear" w:color="auto" w:fill="FFFFFF"/>
        </w:rPr>
      </w:pPr>
      <w:r>
        <w:rPr>
          <w:rFonts w:hint="eastAsia" w:ascii="仿宋_GB2312" w:hAnsi="黑体" w:eastAsia="仿宋_GB2312" w:cs="黑体"/>
          <w:bCs/>
          <w:color w:val="000000"/>
          <w:shd w:val="clear" w:color="auto" w:fill="FFFFFF"/>
        </w:rPr>
        <w:t>（1）尚未制定口腔种植设计方案。按本通知价格政策执行。</w:t>
      </w:r>
    </w:p>
    <w:p>
      <w:pPr>
        <w:spacing w:line="560" w:lineRule="exact"/>
        <w:rPr>
          <w:rFonts w:ascii="仿宋_GB2312" w:hAnsi="黑体" w:eastAsia="仿宋_GB2312" w:cs="黑体"/>
          <w:bCs/>
          <w:color w:val="000000"/>
          <w:kern w:val="0"/>
          <w:sz w:val="24"/>
          <w:shd w:val="clear" w:color="auto" w:fill="FFFFFF"/>
        </w:rPr>
      </w:pPr>
      <w:r>
        <w:rPr>
          <w:rFonts w:hint="eastAsia" w:ascii="仿宋_GB2312" w:hAnsi="黑体" w:eastAsia="仿宋_GB2312" w:cs="黑体"/>
          <w:bCs/>
          <w:color w:val="000000"/>
          <w:kern w:val="0"/>
          <w:sz w:val="24"/>
          <w:shd w:val="clear" w:color="auto" w:fill="FFFFFF"/>
        </w:rPr>
        <w:t>（2）已完成口腔种植设计方案，尚未进行口腔种植一期手术。种植项目按本通知相关项目价格80%执行。</w:t>
      </w:r>
    </w:p>
    <w:p>
      <w:pPr>
        <w:spacing w:line="560" w:lineRule="exact"/>
        <w:rPr>
          <w:rFonts w:ascii="仿宋_GB2312" w:hAnsi="黑体" w:eastAsia="仿宋_GB2312" w:cs="黑体"/>
          <w:bCs/>
          <w:color w:val="000000"/>
          <w:kern w:val="0"/>
          <w:sz w:val="24"/>
          <w:shd w:val="clear" w:color="auto" w:fill="FFFFFF"/>
        </w:rPr>
      </w:pPr>
      <w:r>
        <w:rPr>
          <w:rFonts w:hint="eastAsia" w:ascii="仿宋_GB2312" w:hAnsi="黑体" w:eastAsia="仿宋_GB2312" w:cs="黑体"/>
          <w:bCs/>
          <w:color w:val="000000"/>
          <w:kern w:val="0"/>
          <w:sz w:val="24"/>
          <w:shd w:val="clear" w:color="auto" w:fill="FFFFFF"/>
        </w:rPr>
        <w:t>（3）已完成口腔种植一期手术，尚未进行口腔种植二期手术。种植项目按本通知相关项目价格30%执行。</w:t>
      </w:r>
    </w:p>
    <w:p>
      <w:pPr>
        <w:spacing w:line="560" w:lineRule="exact"/>
        <w:rPr>
          <w:rFonts w:ascii="仿宋_GB2312" w:hAnsi="黑体" w:eastAsia="仿宋_GB2312" w:cs="黑体"/>
          <w:bCs/>
          <w:color w:val="000000"/>
          <w:kern w:val="0"/>
          <w:sz w:val="24"/>
          <w:shd w:val="clear" w:color="auto" w:fill="FFFFFF"/>
        </w:rPr>
      </w:pPr>
      <w:r>
        <w:rPr>
          <w:rFonts w:hint="eastAsia" w:ascii="仿宋_GB2312" w:hAnsi="黑体" w:eastAsia="仿宋_GB2312" w:cs="黑体"/>
          <w:bCs/>
          <w:color w:val="000000"/>
          <w:kern w:val="0"/>
          <w:sz w:val="24"/>
          <w:shd w:val="clear" w:color="auto" w:fill="FFFFFF"/>
        </w:rPr>
        <w:t>（4）已完成口腔种植二期手术，尚未进行种植修复。不再收取种植相关项目，按本通知要求收取种植修复相关项目。</w:t>
      </w:r>
    </w:p>
    <w:p>
      <w:pPr>
        <w:spacing w:line="560" w:lineRule="exact"/>
        <w:ind w:firstLine="640"/>
        <w:rPr>
          <w:rFonts w:hint="eastAsia" w:ascii="仿宋_GB2312" w:hAnsi="黑体" w:eastAsia="仿宋_GB2312" w:cs="黑体"/>
          <w:bCs/>
          <w:color w:val="000000"/>
          <w:kern w:val="0"/>
          <w:sz w:val="24"/>
          <w:shd w:val="clear" w:color="auto" w:fill="FFFFFF"/>
        </w:rPr>
      </w:pPr>
      <w:r>
        <w:rPr>
          <w:rFonts w:hint="eastAsia" w:ascii="仿宋_GB2312" w:hAnsi="黑体" w:eastAsia="仿宋_GB2312" w:cs="黑体"/>
          <w:bCs/>
          <w:color w:val="000000"/>
          <w:kern w:val="0"/>
          <w:sz w:val="24"/>
          <w:shd w:val="clear" w:color="auto" w:fill="FFFFFF"/>
        </w:rPr>
        <w:t>以上阶段，以病历记录及实际诊疗操作日期为准。</w:t>
      </w:r>
    </w:p>
    <w:p>
      <w:pPr>
        <w:pStyle w:val="2"/>
        <w:rPr>
          <w:rFonts w:hint="eastAsia"/>
        </w:rPr>
      </w:pPr>
      <w:bookmarkStart w:id="0" w:name="_GoBack"/>
      <w:bookmarkEnd w:id="0"/>
    </w:p>
    <w:tbl>
      <w:tblPr>
        <w:tblStyle w:val="6"/>
        <w:tblW w:w="21704" w:type="dxa"/>
        <w:tblInd w:w="-459" w:type="dxa"/>
        <w:tblLayout w:type="autofit"/>
        <w:tblCellMar>
          <w:top w:w="0" w:type="dxa"/>
          <w:left w:w="108" w:type="dxa"/>
          <w:bottom w:w="0" w:type="dxa"/>
          <w:right w:w="108" w:type="dxa"/>
        </w:tblCellMar>
      </w:tblPr>
      <w:tblGrid>
        <w:gridCol w:w="541"/>
        <w:gridCol w:w="751"/>
        <w:gridCol w:w="1536"/>
        <w:gridCol w:w="2016"/>
        <w:gridCol w:w="2806"/>
        <w:gridCol w:w="3544"/>
        <w:gridCol w:w="2060"/>
        <w:gridCol w:w="914"/>
        <w:gridCol w:w="1056"/>
        <w:gridCol w:w="1056"/>
        <w:gridCol w:w="1056"/>
        <w:gridCol w:w="2194"/>
        <w:gridCol w:w="2174"/>
      </w:tblGrid>
      <w:tr>
        <w:tblPrEx>
          <w:tblCellMar>
            <w:top w:w="0" w:type="dxa"/>
            <w:left w:w="108" w:type="dxa"/>
            <w:bottom w:w="0" w:type="dxa"/>
            <w:right w:w="108" w:type="dxa"/>
          </w:tblCellMar>
        </w:tblPrEx>
        <w:trPr>
          <w:trHeight w:val="240" w:hRule="atLeast"/>
          <w:tblHeader/>
        </w:trPr>
        <w:tc>
          <w:tcPr>
            <w:tcW w:w="54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b/>
                <w:bCs/>
                <w:color w:val="000000"/>
                <w:kern w:val="0"/>
                <w:sz w:val="24"/>
              </w:rPr>
            </w:pPr>
            <w:r>
              <w:rPr>
                <w:rFonts w:hint="eastAsia" w:ascii="黑体" w:hAnsi="黑体" w:eastAsia="黑体" w:cs="宋体"/>
                <w:b/>
                <w:bCs/>
                <w:color w:val="000000"/>
                <w:kern w:val="0"/>
                <w:sz w:val="24"/>
              </w:rPr>
              <w:t>序号</w:t>
            </w:r>
          </w:p>
        </w:tc>
        <w:tc>
          <w:tcPr>
            <w:tcW w:w="75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b/>
                <w:bCs/>
                <w:color w:val="000000"/>
                <w:kern w:val="0"/>
                <w:sz w:val="24"/>
              </w:rPr>
            </w:pPr>
            <w:r>
              <w:rPr>
                <w:rFonts w:hint="eastAsia" w:ascii="黑体" w:hAnsi="黑体" w:eastAsia="黑体" w:cs="宋体"/>
                <w:b/>
                <w:bCs/>
                <w:color w:val="000000"/>
                <w:kern w:val="0"/>
                <w:sz w:val="24"/>
              </w:rPr>
              <w:t>财务分类</w:t>
            </w:r>
          </w:p>
        </w:tc>
        <w:tc>
          <w:tcPr>
            <w:tcW w:w="153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b/>
                <w:bCs/>
                <w:color w:val="000000"/>
                <w:kern w:val="0"/>
                <w:sz w:val="24"/>
              </w:rPr>
            </w:pPr>
            <w:r>
              <w:rPr>
                <w:rFonts w:hint="eastAsia" w:ascii="黑体" w:hAnsi="黑体" w:eastAsia="黑体" w:cs="宋体"/>
                <w:b/>
                <w:bCs/>
                <w:color w:val="000000"/>
                <w:kern w:val="0"/>
                <w:sz w:val="24"/>
              </w:rPr>
              <w:t>项目编码</w:t>
            </w:r>
          </w:p>
        </w:tc>
        <w:tc>
          <w:tcPr>
            <w:tcW w:w="201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b/>
                <w:bCs/>
                <w:color w:val="000000"/>
                <w:kern w:val="0"/>
                <w:sz w:val="24"/>
              </w:rPr>
            </w:pPr>
            <w:r>
              <w:rPr>
                <w:rFonts w:hint="eastAsia" w:ascii="黑体" w:hAnsi="黑体" w:eastAsia="黑体" w:cs="宋体"/>
                <w:b/>
                <w:bCs/>
                <w:color w:val="000000"/>
                <w:kern w:val="0"/>
                <w:sz w:val="24"/>
              </w:rPr>
              <w:t>国家编码</w:t>
            </w:r>
          </w:p>
        </w:tc>
        <w:tc>
          <w:tcPr>
            <w:tcW w:w="280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b/>
                <w:bCs/>
                <w:color w:val="000000"/>
                <w:kern w:val="0"/>
                <w:sz w:val="24"/>
              </w:rPr>
            </w:pPr>
            <w:r>
              <w:rPr>
                <w:rFonts w:hint="eastAsia" w:ascii="黑体" w:hAnsi="黑体" w:eastAsia="黑体" w:cs="宋体"/>
                <w:b/>
                <w:bCs/>
                <w:color w:val="000000"/>
                <w:kern w:val="0"/>
                <w:sz w:val="24"/>
              </w:rPr>
              <w:t>项目名称</w:t>
            </w:r>
          </w:p>
        </w:tc>
        <w:tc>
          <w:tcPr>
            <w:tcW w:w="354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b/>
                <w:bCs/>
                <w:color w:val="000000"/>
                <w:kern w:val="0"/>
                <w:sz w:val="24"/>
              </w:rPr>
            </w:pPr>
            <w:r>
              <w:rPr>
                <w:rFonts w:hint="eastAsia" w:ascii="黑体" w:hAnsi="黑体" w:eastAsia="黑体" w:cs="宋体"/>
                <w:b/>
                <w:bCs/>
                <w:color w:val="000000"/>
                <w:kern w:val="0"/>
                <w:sz w:val="24"/>
              </w:rPr>
              <w:t>项目内涵</w:t>
            </w:r>
          </w:p>
        </w:tc>
        <w:tc>
          <w:tcPr>
            <w:tcW w:w="206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b/>
                <w:bCs/>
                <w:color w:val="000000"/>
                <w:kern w:val="0"/>
                <w:sz w:val="24"/>
              </w:rPr>
            </w:pPr>
            <w:r>
              <w:rPr>
                <w:rFonts w:hint="eastAsia" w:ascii="黑体" w:hAnsi="黑体" w:eastAsia="黑体" w:cs="宋体"/>
                <w:b/>
                <w:bCs/>
                <w:color w:val="000000"/>
                <w:kern w:val="0"/>
                <w:sz w:val="24"/>
              </w:rPr>
              <w:t>除外内容</w:t>
            </w:r>
          </w:p>
        </w:tc>
        <w:tc>
          <w:tcPr>
            <w:tcW w:w="91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b/>
                <w:bCs/>
                <w:color w:val="000000"/>
                <w:kern w:val="0"/>
                <w:sz w:val="24"/>
              </w:rPr>
            </w:pPr>
            <w:r>
              <w:rPr>
                <w:rFonts w:hint="eastAsia" w:ascii="黑体" w:hAnsi="黑体" w:eastAsia="黑体" w:cs="宋体"/>
                <w:b/>
                <w:bCs/>
                <w:color w:val="000000"/>
                <w:kern w:val="0"/>
                <w:sz w:val="24"/>
              </w:rPr>
              <w:t>计价单位</w:t>
            </w:r>
          </w:p>
        </w:tc>
        <w:tc>
          <w:tcPr>
            <w:tcW w:w="3168" w:type="dxa"/>
            <w:gridSpan w:val="3"/>
            <w:tcBorders>
              <w:top w:val="single" w:color="auto" w:sz="4" w:space="0"/>
              <w:left w:val="nil"/>
              <w:bottom w:val="single" w:color="auto" w:sz="4" w:space="0"/>
              <w:right w:val="single" w:color="auto" w:sz="4" w:space="0"/>
            </w:tcBorders>
            <w:noWrap/>
            <w:vAlign w:val="center"/>
          </w:tcPr>
          <w:p>
            <w:pPr>
              <w:widowControl/>
              <w:jc w:val="center"/>
              <w:rPr>
                <w:rFonts w:ascii="黑体" w:hAnsi="黑体" w:eastAsia="黑体" w:cs="宋体"/>
                <w:b/>
                <w:bCs/>
                <w:kern w:val="0"/>
                <w:sz w:val="24"/>
              </w:rPr>
            </w:pPr>
            <w:r>
              <w:rPr>
                <w:rFonts w:hint="eastAsia" w:ascii="黑体" w:hAnsi="黑体" w:eastAsia="黑体" w:cs="宋体"/>
                <w:b/>
                <w:bCs/>
                <w:kern w:val="0"/>
                <w:sz w:val="24"/>
              </w:rPr>
              <w:t>价格</w:t>
            </w:r>
          </w:p>
        </w:tc>
        <w:tc>
          <w:tcPr>
            <w:tcW w:w="219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b/>
                <w:bCs/>
                <w:color w:val="000000"/>
                <w:kern w:val="0"/>
                <w:sz w:val="24"/>
              </w:rPr>
            </w:pPr>
            <w:r>
              <w:rPr>
                <w:rFonts w:hint="eastAsia" w:ascii="黑体" w:hAnsi="黑体" w:eastAsia="黑体" w:cs="宋体"/>
                <w:b/>
                <w:bCs/>
                <w:color w:val="000000"/>
                <w:kern w:val="0"/>
                <w:sz w:val="24"/>
              </w:rPr>
              <w:t>说明</w:t>
            </w:r>
          </w:p>
        </w:tc>
        <w:tc>
          <w:tcPr>
            <w:tcW w:w="217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b/>
                <w:bCs/>
                <w:color w:val="000000"/>
                <w:kern w:val="0"/>
                <w:sz w:val="24"/>
              </w:rPr>
            </w:pPr>
            <w:r>
              <w:rPr>
                <w:rFonts w:hint="eastAsia" w:ascii="黑体" w:hAnsi="黑体" w:eastAsia="黑体" w:cs="宋体"/>
                <w:b/>
                <w:bCs/>
                <w:color w:val="000000"/>
                <w:kern w:val="0"/>
                <w:sz w:val="24"/>
              </w:rPr>
              <w:t>备注</w:t>
            </w:r>
          </w:p>
        </w:tc>
      </w:tr>
      <w:tr>
        <w:tblPrEx>
          <w:tblCellMar>
            <w:top w:w="0" w:type="dxa"/>
            <w:left w:w="108" w:type="dxa"/>
            <w:bottom w:w="0" w:type="dxa"/>
            <w:right w:w="108" w:type="dxa"/>
          </w:tblCellMar>
        </w:tblPrEx>
        <w:trPr>
          <w:trHeight w:val="480" w:hRule="atLeast"/>
          <w:tblHeader/>
        </w:trPr>
        <w:tc>
          <w:tcPr>
            <w:tcW w:w="54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黑体" w:hAnsi="黑体" w:eastAsia="黑体" w:cs="宋体"/>
                <w:b/>
                <w:bCs/>
                <w:color w:val="000000"/>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黑体" w:hAnsi="黑体" w:eastAsia="黑体" w:cs="宋体"/>
                <w:b/>
                <w:bCs/>
                <w:color w:val="000000"/>
                <w:kern w:val="0"/>
                <w:sz w:val="24"/>
              </w:rPr>
            </w:pPr>
          </w:p>
        </w:tc>
        <w:tc>
          <w:tcPr>
            <w:tcW w:w="153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黑体" w:hAnsi="黑体" w:eastAsia="黑体" w:cs="宋体"/>
                <w:b/>
                <w:bCs/>
                <w:color w:val="000000"/>
                <w:kern w:val="0"/>
                <w:sz w:val="24"/>
              </w:rPr>
            </w:pPr>
          </w:p>
        </w:tc>
        <w:tc>
          <w:tcPr>
            <w:tcW w:w="201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黑体" w:hAnsi="黑体" w:eastAsia="黑体" w:cs="宋体"/>
                <w:b/>
                <w:bCs/>
                <w:color w:val="000000"/>
                <w:kern w:val="0"/>
                <w:sz w:val="24"/>
              </w:rPr>
            </w:pPr>
          </w:p>
        </w:tc>
        <w:tc>
          <w:tcPr>
            <w:tcW w:w="280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黑体" w:hAnsi="黑体" w:eastAsia="黑体" w:cs="宋体"/>
                <w:b/>
                <w:bCs/>
                <w:color w:val="000000"/>
                <w:kern w:val="0"/>
                <w:sz w:val="24"/>
              </w:rPr>
            </w:pPr>
          </w:p>
        </w:tc>
        <w:tc>
          <w:tcPr>
            <w:tcW w:w="354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黑体" w:hAnsi="黑体" w:eastAsia="黑体" w:cs="宋体"/>
                <w:b/>
                <w:bCs/>
                <w:color w:val="000000"/>
                <w:kern w:val="0"/>
                <w:sz w:val="24"/>
              </w:rPr>
            </w:pPr>
          </w:p>
        </w:tc>
        <w:tc>
          <w:tcPr>
            <w:tcW w:w="206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黑体" w:hAnsi="黑体" w:eastAsia="黑体" w:cs="宋体"/>
                <w:b/>
                <w:bCs/>
                <w:color w:val="000000"/>
                <w:kern w:val="0"/>
                <w:sz w:val="24"/>
              </w:rPr>
            </w:pPr>
          </w:p>
        </w:tc>
        <w:tc>
          <w:tcPr>
            <w:tcW w:w="91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黑体" w:hAnsi="黑体" w:eastAsia="黑体" w:cs="宋体"/>
                <w:b/>
                <w:bCs/>
                <w:color w:val="000000"/>
                <w:kern w:val="0"/>
                <w:sz w:val="24"/>
              </w:rPr>
            </w:pPr>
          </w:p>
        </w:tc>
        <w:tc>
          <w:tcPr>
            <w:tcW w:w="1056" w:type="dxa"/>
            <w:tcBorders>
              <w:top w:val="nil"/>
              <w:left w:val="nil"/>
              <w:bottom w:val="single" w:color="auto" w:sz="4" w:space="0"/>
              <w:right w:val="single" w:color="auto" w:sz="4" w:space="0"/>
            </w:tcBorders>
            <w:noWrap/>
            <w:vAlign w:val="center"/>
          </w:tcPr>
          <w:p>
            <w:pPr>
              <w:widowControl/>
              <w:jc w:val="center"/>
              <w:rPr>
                <w:rFonts w:hint="eastAsia" w:ascii="黑体" w:hAnsi="黑体" w:eastAsia="黑体" w:cs="宋体"/>
                <w:b/>
                <w:bCs/>
                <w:kern w:val="0"/>
                <w:sz w:val="24"/>
                <w:lang w:eastAsia="zh-CN"/>
              </w:rPr>
            </w:pPr>
            <w:r>
              <w:rPr>
                <w:rFonts w:hint="eastAsia" w:ascii="黑体" w:hAnsi="黑体" w:eastAsia="黑体" w:cs="宋体"/>
                <w:b/>
                <w:bCs/>
                <w:kern w:val="0"/>
                <w:sz w:val="24"/>
              </w:rPr>
              <w:t>一级</w:t>
            </w:r>
          </w:p>
          <w:p>
            <w:pPr>
              <w:widowControl/>
              <w:jc w:val="center"/>
              <w:rPr>
                <w:rFonts w:ascii="黑体" w:hAnsi="黑体" w:eastAsia="黑体" w:cs="宋体"/>
                <w:b/>
                <w:bCs/>
                <w:kern w:val="0"/>
                <w:sz w:val="24"/>
              </w:rPr>
            </w:pPr>
            <w:r>
              <w:rPr>
                <w:rFonts w:hint="eastAsia" w:ascii="黑体" w:hAnsi="黑体" w:eastAsia="黑体" w:cs="宋体"/>
                <w:b/>
                <w:bCs/>
                <w:kern w:val="0"/>
                <w:sz w:val="24"/>
              </w:rPr>
              <w:t>及以下</w:t>
            </w:r>
          </w:p>
        </w:tc>
        <w:tc>
          <w:tcPr>
            <w:tcW w:w="1056"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b/>
                <w:bCs/>
                <w:kern w:val="0"/>
                <w:sz w:val="24"/>
              </w:rPr>
            </w:pPr>
            <w:r>
              <w:rPr>
                <w:rFonts w:hint="eastAsia" w:ascii="黑体" w:hAnsi="黑体" w:eastAsia="黑体" w:cs="宋体"/>
                <w:b/>
                <w:bCs/>
                <w:kern w:val="0"/>
                <w:sz w:val="24"/>
              </w:rPr>
              <w:t>二级</w:t>
            </w:r>
          </w:p>
        </w:tc>
        <w:tc>
          <w:tcPr>
            <w:tcW w:w="1056" w:type="dxa"/>
            <w:tcBorders>
              <w:top w:val="nil"/>
              <w:left w:val="nil"/>
              <w:bottom w:val="single" w:color="auto" w:sz="4" w:space="0"/>
              <w:right w:val="single" w:color="auto" w:sz="4" w:space="0"/>
            </w:tcBorders>
            <w:noWrap/>
            <w:vAlign w:val="center"/>
          </w:tcPr>
          <w:p>
            <w:pPr>
              <w:widowControl/>
              <w:jc w:val="center"/>
              <w:rPr>
                <w:rFonts w:ascii="黑体" w:hAnsi="黑体" w:eastAsia="黑体" w:cs="宋体"/>
                <w:b/>
                <w:bCs/>
                <w:kern w:val="0"/>
                <w:sz w:val="24"/>
              </w:rPr>
            </w:pPr>
            <w:r>
              <w:rPr>
                <w:rFonts w:hint="eastAsia" w:ascii="黑体" w:hAnsi="黑体" w:eastAsia="黑体" w:cs="宋体"/>
                <w:b/>
                <w:bCs/>
                <w:kern w:val="0"/>
                <w:sz w:val="24"/>
              </w:rPr>
              <w:t>三级</w:t>
            </w:r>
          </w:p>
        </w:tc>
        <w:tc>
          <w:tcPr>
            <w:tcW w:w="2194" w:type="dxa"/>
            <w:vMerge w:val="continue"/>
            <w:tcBorders>
              <w:top w:val="single" w:color="auto" w:sz="4" w:space="0"/>
              <w:left w:val="single" w:color="auto" w:sz="4" w:space="0"/>
              <w:bottom w:val="single" w:color="auto" w:sz="4" w:space="0"/>
              <w:right w:val="single" w:color="auto" w:sz="4" w:space="0"/>
            </w:tcBorders>
            <w:noWrap/>
            <w:vAlign w:val="center"/>
          </w:tcPr>
          <w:p>
            <w:pPr>
              <w:keepNext/>
              <w:keepLines/>
              <w:widowControl/>
              <w:spacing w:before="340" w:after="330" w:line="578" w:lineRule="auto"/>
              <w:jc w:val="left"/>
              <w:rPr>
                <w:rFonts w:ascii="黑体" w:hAnsi="黑体" w:eastAsia="黑体" w:cs="宋体"/>
                <w:b/>
                <w:bCs/>
                <w:color w:val="000000"/>
                <w:kern w:val="0"/>
                <w:sz w:val="24"/>
              </w:rPr>
            </w:pPr>
          </w:p>
        </w:tc>
        <w:tc>
          <w:tcPr>
            <w:tcW w:w="2174" w:type="dxa"/>
            <w:vMerge w:val="continue"/>
            <w:tcBorders>
              <w:top w:val="single" w:color="auto" w:sz="4" w:space="0"/>
              <w:left w:val="single" w:color="auto" w:sz="4" w:space="0"/>
              <w:bottom w:val="single" w:color="auto" w:sz="4" w:space="0"/>
              <w:right w:val="single" w:color="auto" w:sz="4" w:space="0"/>
            </w:tcBorders>
            <w:noWrap/>
            <w:vAlign w:val="center"/>
          </w:tcPr>
          <w:p>
            <w:pPr>
              <w:keepNext/>
              <w:keepLines/>
              <w:widowControl/>
              <w:spacing w:before="340" w:after="330" w:line="578" w:lineRule="auto"/>
              <w:jc w:val="left"/>
              <w:rPr>
                <w:rFonts w:ascii="黑体" w:hAnsi="黑体" w:eastAsia="黑体" w:cs="宋体"/>
                <w:b/>
                <w:bCs/>
                <w:color w:val="000000"/>
                <w:kern w:val="0"/>
                <w:sz w:val="24"/>
              </w:rPr>
            </w:pPr>
          </w:p>
        </w:tc>
      </w:tr>
      <w:tr>
        <w:tblPrEx>
          <w:tblCellMar>
            <w:top w:w="0" w:type="dxa"/>
            <w:left w:w="108" w:type="dxa"/>
            <w:bottom w:w="0" w:type="dxa"/>
            <w:right w:w="108" w:type="dxa"/>
          </w:tblCellMar>
        </w:tblPrEx>
        <w:trPr>
          <w:trHeight w:val="2108"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G</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330609014</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013306090010000</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种植体植入费（单颗）</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实现口腔单颗种植体植入。价格构成涵盖方案设计、术前准备，备洞，种植体植入，二期手术，术后处理，手术复查等步骤人力资源和基本物资消耗</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种植体系统、基台</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牙位</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1448.00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1629.00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24"/>
              </w:rPr>
            </w:pPr>
            <w:r>
              <w:rPr>
                <w:rFonts w:hint="eastAsia" w:ascii="宋体" w:hAnsi="宋体" w:cs="宋体"/>
                <w:kern w:val="0"/>
                <w:sz w:val="24"/>
              </w:rPr>
              <w:t xml:space="preserve">1810.00 </w:t>
            </w:r>
          </w:p>
        </w:tc>
        <w:tc>
          <w:tcPr>
            <w:tcW w:w="219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种植体即刻种植加收，颅颌面种植体植入加收。未植入种植体按实际发生的通科项目计价收费。</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内涵所指步骤，不得再另外收取医疗服务项目。</w:t>
            </w:r>
          </w:p>
        </w:tc>
      </w:tr>
      <w:tr>
        <w:tblPrEx>
          <w:tblCellMar>
            <w:top w:w="0" w:type="dxa"/>
            <w:left w:w="108" w:type="dxa"/>
            <w:bottom w:w="0" w:type="dxa"/>
            <w:right w:w="108" w:type="dxa"/>
          </w:tblCellMar>
        </w:tblPrEx>
        <w:trPr>
          <w:trHeight w:val="1602"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G</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330609014/1</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013306090010001</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种植体植入费（单颗）-种植体即刻种植（加收）</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牙位</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1737.60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1954.80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2172.00 </w:t>
            </w:r>
          </w:p>
        </w:tc>
        <w:tc>
          <w:tcPr>
            <w:tcW w:w="219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加收20%。</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此价格已在主项目价格基础上加收，不得再收取主项目。</w:t>
            </w:r>
          </w:p>
        </w:tc>
      </w:tr>
      <w:tr>
        <w:tblPrEx>
          <w:tblCellMar>
            <w:top w:w="0" w:type="dxa"/>
            <w:left w:w="108" w:type="dxa"/>
            <w:bottom w:w="0" w:type="dxa"/>
            <w:right w:w="108" w:type="dxa"/>
          </w:tblCellMar>
        </w:tblPrEx>
        <w:trPr>
          <w:trHeight w:val="1602"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G</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330609014/2</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013306090010002</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种植体植入费（单颗）-颅颌面种植体植入（加收）</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牙位</w:t>
            </w:r>
          </w:p>
        </w:tc>
        <w:tc>
          <w:tcPr>
            <w:tcW w:w="105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2172.00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2443.50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2715.00 </w:t>
            </w:r>
          </w:p>
        </w:tc>
        <w:tc>
          <w:tcPr>
            <w:tcW w:w="219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加收50%。</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此价格已在主项目价格基础上加收，不得再收取主项目。</w:t>
            </w:r>
          </w:p>
        </w:tc>
      </w:tr>
      <w:tr>
        <w:tblPrEx>
          <w:tblCellMar>
            <w:top w:w="0" w:type="dxa"/>
            <w:left w:w="108" w:type="dxa"/>
            <w:bottom w:w="0" w:type="dxa"/>
            <w:right w:w="108" w:type="dxa"/>
          </w:tblCellMar>
        </w:tblPrEx>
        <w:trPr>
          <w:trHeight w:val="2341"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G</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330609015</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013306090020000</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种植体植入费（全牙弓）</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对范围超过一个象限以上的连续牙齿缺失进行种植体的植入以实现桥式修复。价格构成涵盖方案设计、术前准备，备洞，种植体植入，二期手术，术后处理，手术复查等步骤人力资源和基本物资消耗</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种植体系统、基台</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例</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市场调节价</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市场调节价</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市场调节价</w:t>
            </w:r>
          </w:p>
        </w:tc>
        <w:tc>
          <w:tcPr>
            <w:tcW w:w="219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上下颌分别进行桥式修复的，分别计价。种植体即刻种植加收，颅颌面种植体植入加收，种植体倾斜植入加收。</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内涵所指步骤，不得再另外收取医疗服务项目。</w:t>
            </w:r>
          </w:p>
        </w:tc>
      </w:tr>
      <w:tr>
        <w:tblPrEx>
          <w:tblCellMar>
            <w:top w:w="0" w:type="dxa"/>
            <w:left w:w="108" w:type="dxa"/>
            <w:bottom w:w="0" w:type="dxa"/>
            <w:right w:w="108" w:type="dxa"/>
          </w:tblCellMar>
        </w:tblPrEx>
        <w:trPr>
          <w:trHeight w:val="1602"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G</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330609015/1</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013306090020001</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种植体植入费（全牙弓）-种植体即刻种植（加收）</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例</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市场调节价</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市场调节价</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市场调节价</w:t>
            </w:r>
          </w:p>
        </w:tc>
        <w:tc>
          <w:tcPr>
            <w:tcW w:w="219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此价格应在主项目价格基础上加收，不得再收取主项目。</w:t>
            </w:r>
          </w:p>
        </w:tc>
      </w:tr>
      <w:tr>
        <w:tblPrEx>
          <w:tblCellMar>
            <w:top w:w="0" w:type="dxa"/>
            <w:left w:w="108" w:type="dxa"/>
            <w:bottom w:w="0" w:type="dxa"/>
            <w:right w:w="108" w:type="dxa"/>
          </w:tblCellMar>
        </w:tblPrEx>
        <w:trPr>
          <w:trHeight w:val="1602"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G</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330609015/2</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013306090020002</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种植体植入费（全牙弓）-颅颌面种植体植入（加收）</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例</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市场调节价</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市场调节价</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市场调节价</w:t>
            </w:r>
          </w:p>
        </w:tc>
        <w:tc>
          <w:tcPr>
            <w:tcW w:w="219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此价格应在主项目价格基础上加收，不得再收取主项目。</w:t>
            </w:r>
          </w:p>
        </w:tc>
      </w:tr>
      <w:tr>
        <w:tblPrEx>
          <w:tblCellMar>
            <w:top w:w="0" w:type="dxa"/>
            <w:left w:w="108" w:type="dxa"/>
            <w:bottom w:w="0" w:type="dxa"/>
            <w:right w:w="108" w:type="dxa"/>
          </w:tblCellMar>
        </w:tblPrEx>
        <w:trPr>
          <w:trHeight w:val="1602"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G</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330609015/3</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013306090020003</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种植体植入费（全牙弓）-种植体倾斜植入（加收）</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例</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市场调节价</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市场调节价</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市场调节价</w:t>
            </w:r>
          </w:p>
        </w:tc>
        <w:tc>
          <w:tcPr>
            <w:tcW w:w="219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此价格应在主项目价格基础上加收，不得再收取主项目。</w:t>
            </w:r>
          </w:p>
        </w:tc>
      </w:tr>
      <w:tr>
        <w:tblPrEx>
          <w:tblCellMar>
            <w:top w:w="0" w:type="dxa"/>
            <w:left w:w="108" w:type="dxa"/>
            <w:bottom w:w="0" w:type="dxa"/>
            <w:right w:w="108" w:type="dxa"/>
          </w:tblCellMar>
        </w:tblPrEx>
        <w:trPr>
          <w:trHeight w:val="2578"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E</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310523008</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013105170010000</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种植牙冠修复置入费（单颗）</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实现种植体上部固定义齿的修复置入。价格构成涵盖方案设计、印模制取、颌位确定、位置转移、模型制作、试排牙、戴入、调改、宣教等人力资源和基本物资消耗</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种植体替代体、基台、转移杆、义齿</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牙位</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768.00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864.00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960.00 </w:t>
            </w:r>
          </w:p>
        </w:tc>
        <w:tc>
          <w:tcPr>
            <w:tcW w:w="219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即刻修复置入加收，临时冠修复置入减收。</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内涵所指步骤，不得再另外收取医疗服务项目。</w:t>
            </w:r>
          </w:p>
        </w:tc>
      </w:tr>
      <w:tr>
        <w:tblPrEx>
          <w:tblCellMar>
            <w:top w:w="0" w:type="dxa"/>
            <w:left w:w="108" w:type="dxa"/>
            <w:bottom w:w="0" w:type="dxa"/>
            <w:right w:w="108" w:type="dxa"/>
          </w:tblCellMar>
        </w:tblPrEx>
        <w:trPr>
          <w:trHeight w:val="1602"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E</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310523008/1</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013105170010001</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种植牙冠修复置入费（单颗）-即刻修复置入（加收）</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牙位</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921.60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1036.80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1152.00 </w:t>
            </w:r>
          </w:p>
        </w:tc>
        <w:tc>
          <w:tcPr>
            <w:tcW w:w="219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加收20%。</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此价格已在主项目价格基础上加收，不得再收取主项目。</w:t>
            </w:r>
          </w:p>
        </w:tc>
      </w:tr>
      <w:tr>
        <w:tblPrEx>
          <w:tblCellMar>
            <w:top w:w="0" w:type="dxa"/>
            <w:left w:w="108" w:type="dxa"/>
            <w:bottom w:w="0" w:type="dxa"/>
            <w:right w:w="108" w:type="dxa"/>
          </w:tblCellMar>
        </w:tblPrEx>
        <w:trPr>
          <w:trHeight w:val="1602"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E</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310523008/2</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013105170010002</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种植牙冠修复置入（单颗）-临时冠修复置入（减收）</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牙位</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384.00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432.00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480.00 </w:t>
            </w:r>
          </w:p>
        </w:tc>
        <w:tc>
          <w:tcPr>
            <w:tcW w:w="219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减收50%。</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此价格已在主项目价格基础上减收，不得再收取主项目。</w:t>
            </w:r>
          </w:p>
        </w:tc>
      </w:tr>
      <w:tr>
        <w:tblPrEx>
          <w:tblCellMar>
            <w:top w:w="0" w:type="dxa"/>
            <w:left w:w="108" w:type="dxa"/>
            <w:bottom w:w="0" w:type="dxa"/>
            <w:right w:w="108" w:type="dxa"/>
          </w:tblCellMar>
        </w:tblPrEx>
        <w:trPr>
          <w:trHeight w:val="2859"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E</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310523009</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013105170020000</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种植牙冠修复置入费（连续冠桥修复）</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实现种植体上部不超过一个象限的连续固定义齿的修复置入。价格构成涵盖方案设计、印模制取、颌位确定、位置转移、模型制作、试排牙、戴入、调改、宣教等人力资源和基本物资消耗</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种植体替代体、基台、转移杆、义齿</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牙位</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1024.00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1152.00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1280.00 </w:t>
            </w:r>
          </w:p>
        </w:tc>
        <w:tc>
          <w:tcPr>
            <w:tcW w:w="219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即刻修复置入加收，临时冠修复置入减收。</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内涵所指步骤，不得再另外收取医疗服务项目。</w:t>
            </w:r>
          </w:p>
        </w:tc>
      </w:tr>
      <w:tr>
        <w:tblPrEx>
          <w:tblCellMar>
            <w:top w:w="0" w:type="dxa"/>
            <w:left w:w="108" w:type="dxa"/>
            <w:bottom w:w="0" w:type="dxa"/>
            <w:right w:w="108" w:type="dxa"/>
          </w:tblCellMar>
        </w:tblPrEx>
        <w:trPr>
          <w:trHeight w:val="1836"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E</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310523009/1</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013105170020001</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种植牙冠修复置入费（连续冠桥修复）-即刻修复置入（加收）</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牙位</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1228.80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1382.40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1536.00 </w:t>
            </w:r>
          </w:p>
        </w:tc>
        <w:tc>
          <w:tcPr>
            <w:tcW w:w="219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加收20%。</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此价格已在主项目价格基础上加收，不得再收取主项目。</w:t>
            </w:r>
          </w:p>
        </w:tc>
      </w:tr>
      <w:tr>
        <w:tblPrEx>
          <w:tblCellMar>
            <w:top w:w="0" w:type="dxa"/>
            <w:left w:w="108" w:type="dxa"/>
            <w:bottom w:w="0" w:type="dxa"/>
            <w:right w:w="108" w:type="dxa"/>
          </w:tblCellMar>
        </w:tblPrEx>
        <w:trPr>
          <w:trHeight w:val="1976"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E</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310523009/2</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013105170020002</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种植牙冠修复置入（连续冠桥修复）-临时冠修复置入（减收）</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牙位</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512.00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576.00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640.00 </w:t>
            </w:r>
          </w:p>
        </w:tc>
        <w:tc>
          <w:tcPr>
            <w:tcW w:w="219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减收50%。</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此价格已在主项目价格基础上减收，不得再收取主项目。</w:t>
            </w:r>
          </w:p>
        </w:tc>
      </w:tr>
      <w:tr>
        <w:tblPrEx>
          <w:tblCellMar>
            <w:top w:w="0" w:type="dxa"/>
            <w:left w:w="108" w:type="dxa"/>
            <w:bottom w:w="0" w:type="dxa"/>
            <w:right w:w="108" w:type="dxa"/>
          </w:tblCellMar>
        </w:tblPrEx>
        <w:trPr>
          <w:trHeight w:val="1602"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E</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310523010</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013105170030000</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种植牙冠修复置入费（固定咬合重建）</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现对咬合支持丧失、半口牙齿缺失或全口牙齿缺失的种植体上部固定义齿的修复置入。价格构成涵盖方案设计、印模制取、颌位确定、位置转移、模型制作、试排牙、戴入、调改、宣教等人力资源和基本物资消耗</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种植体替代体、基台、转移杆、义齿</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市场调节价</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市场调节价</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市场调节价</w:t>
            </w:r>
          </w:p>
        </w:tc>
        <w:tc>
          <w:tcPr>
            <w:tcW w:w="219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即刻修复置入加收。</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内涵所指步骤，不得再另外收取医疗服务项目。</w:t>
            </w:r>
          </w:p>
        </w:tc>
      </w:tr>
      <w:tr>
        <w:tblPrEx>
          <w:tblCellMar>
            <w:top w:w="0" w:type="dxa"/>
            <w:left w:w="108" w:type="dxa"/>
            <w:bottom w:w="0" w:type="dxa"/>
            <w:right w:w="108" w:type="dxa"/>
          </w:tblCellMar>
        </w:tblPrEx>
        <w:trPr>
          <w:trHeight w:val="1602"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E</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310523010/1</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013105170030001</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种植牙冠修复置入费（固定咬合重建）-即刻修复置入（加收）</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市场调节价</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市场调节价</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市场调节价</w:t>
            </w:r>
          </w:p>
        </w:tc>
        <w:tc>
          <w:tcPr>
            <w:tcW w:w="219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此价格应在主项目价格基础上加收，不得再收取主项目。</w:t>
            </w:r>
          </w:p>
        </w:tc>
      </w:tr>
      <w:tr>
        <w:tblPrEx>
          <w:tblCellMar>
            <w:top w:w="0" w:type="dxa"/>
            <w:left w:w="108" w:type="dxa"/>
            <w:bottom w:w="0" w:type="dxa"/>
            <w:right w:w="108" w:type="dxa"/>
          </w:tblCellMar>
        </w:tblPrEx>
        <w:trPr>
          <w:trHeight w:val="1602"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E</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310523011</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013105230010000</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种植可摘修复置入费</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实现种植体上部可摘修复体的置入。价格构成涵盖方案设计、印模制取、颌位确定、位置转移、试排牙、模型制作、戴入、调改、宣教等人力资源和基本物资消耗</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种植体替代体、基台、转移杆、义齿</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市场调节价</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市场调节价</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市场调节价</w:t>
            </w:r>
          </w:p>
        </w:tc>
        <w:tc>
          <w:tcPr>
            <w:tcW w:w="219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即刻修复置入加收。</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内涵所指步骤，不得再另外收取医疗服务项目。</w:t>
            </w:r>
          </w:p>
        </w:tc>
      </w:tr>
      <w:tr>
        <w:tblPrEx>
          <w:tblCellMar>
            <w:top w:w="0" w:type="dxa"/>
            <w:left w:w="108" w:type="dxa"/>
            <w:bottom w:w="0" w:type="dxa"/>
            <w:right w:w="108" w:type="dxa"/>
          </w:tblCellMar>
        </w:tblPrEx>
        <w:trPr>
          <w:trHeight w:val="1439"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E</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310523011/1</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013105230010001</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种植可摘修复置入费-即刻修复置入（加收）</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市场调节价</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市场调节价</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市场调节价</w:t>
            </w:r>
          </w:p>
        </w:tc>
        <w:tc>
          <w:tcPr>
            <w:tcW w:w="219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此价格应在主项目价格基础上加收，不得再收取主项目。</w:t>
            </w:r>
          </w:p>
        </w:tc>
      </w:tr>
      <w:tr>
        <w:tblPrEx>
          <w:tblCellMar>
            <w:top w:w="0" w:type="dxa"/>
            <w:left w:w="108" w:type="dxa"/>
            <w:bottom w:w="0" w:type="dxa"/>
            <w:right w:w="108" w:type="dxa"/>
          </w:tblCellMar>
        </w:tblPrEx>
        <w:trPr>
          <w:trHeight w:val="2661"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18</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G</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330609016</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013306090030000</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口腔内植骨费（简单）</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通过手术方式，对轻度牙槽嵴萎缩骨量增加，达到可种植条件。价格构成涵盖方案设计、术前准备、手术入路，组织切开，植骨，关闭缝合受植区等手术步骤及术后复查处置等人力资源和基本物资消耗</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骨粉、骨膜、螺钉、胶原基骨修复材料、固定材料、人工材料模型、模板，CGF,PRF等因子作为充填物</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牙位</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720.00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810.00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900.00 </w:t>
            </w:r>
          </w:p>
        </w:tc>
        <w:tc>
          <w:tcPr>
            <w:tcW w:w="219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内涵所指步骤，不得再另外收取医疗服务项目。</w:t>
            </w:r>
          </w:p>
        </w:tc>
      </w:tr>
      <w:tr>
        <w:tblPrEx>
          <w:tblCellMar>
            <w:top w:w="0" w:type="dxa"/>
            <w:left w:w="108" w:type="dxa"/>
            <w:bottom w:w="0" w:type="dxa"/>
            <w:right w:w="108" w:type="dxa"/>
          </w:tblCellMar>
        </w:tblPrEx>
        <w:trPr>
          <w:trHeight w:val="2735"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19</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G</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330609017</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013306090040000</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口腔内植骨费（一般）</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通过手术方式，对中度牙槽嵴萎缩骨量增加，达到可种植条件。价格构成涵盖方案设计、术前准备、手术入路，组织切开，骨劈开/骨挤压，植骨，关闭缝合受植区等手术步骤及术后复查处置等人力资源和基本物资消耗</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骨粉、骨膜、螺钉、胶原基骨修复材料、固定材料、人工材料模型、模板，CGF,PRF等因子作为充填物</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牙位</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1280.00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1440.00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1600.00 </w:t>
            </w:r>
          </w:p>
        </w:tc>
        <w:tc>
          <w:tcPr>
            <w:tcW w:w="219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内涵所指步骤，不得再另外收取医疗服务项目。</w:t>
            </w:r>
          </w:p>
        </w:tc>
      </w:tr>
      <w:tr>
        <w:tblPrEx>
          <w:tblCellMar>
            <w:top w:w="0" w:type="dxa"/>
            <w:left w:w="108" w:type="dxa"/>
            <w:bottom w:w="0" w:type="dxa"/>
            <w:right w:w="108" w:type="dxa"/>
          </w:tblCellMar>
        </w:tblPrEx>
        <w:trPr>
          <w:trHeight w:val="1602"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G</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330609018</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013306090050000</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口腔内植骨费（复杂）</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通过手术方式，对重度牙槽嵴萎缩或上颌窦底骨量增加，达到可种植条件。价格构成涵盖方案设计、术前准备、手术入路，组织切开，自体骨移植、植骨，关闭缝合受植区等手术步骤及术后复查处置等人力资源和基本物资消耗</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骨粉、骨膜、螺钉、胶原基骨修复材料、固定材料、人工材料模型、模板，CGF,PRF等因子作为充填物</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牙位</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1920.00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2160.00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2400.00 </w:t>
            </w:r>
          </w:p>
        </w:tc>
        <w:tc>
          <w:tcPr>
            <w:tcW w:w="219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上颌窦囊肿摘除加收，口腔以外其他部位取骨加收。</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内涵所指步骤，不得再另外收取医疗服务项目。</w:t>
            </w:r>
          </w:p>
        </w:tc>
      </w:tr>
      <w:tr>
        <w:tblPrEx>
          <w:tblCellMar>
            <w:top w:w="0" w:type="dxa"/>
            <w:left w:w="108" w:type="dxa"/>
            <w:bottom w:w="0" w:type="dxa"/>
            <w:right w:w="108" w:type="dxa"/>
          </w:tblCellMar>
        </w:tblPrEx>
        <w:trPr>
          <w:trHeight w:val="1602"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21</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G</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330609018/1</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013306090050001</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口腔内植骨费（复杂）-上颌窦囊肿摘除（加收）</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牙位</w:t>
            </w:r>
          </w:p>
        </w:tc>
        <w:tc>
          <w:tcPr>
            <w:tcW w:w="1056" w:type="dxa"/>
            <w:tcBorders>
              <w:top w:val="nil"/>
              <w:left w:val="nil"/>
              <w:bottom w:val="single" w:color="auto" w:sz="4" w:space="0"/>
              <w:right w:val="single" w:color="auto" w:sz="4" w:space="0"/>
            </w:tcBorders>
            <w:noWrap/>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2304.00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2592.00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2880.00 </w:t>
            </w:r>
          </w:p>
        </w:tc>
        <w:tc>
          <w:tcPr>
            <w:tcW w:w="219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加收20%。</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此价格已在主项目价格基础上加收，不得再收取主项目。</w:t>
            </w:r>
          </w:p>
        </w:tc>
      </w:tr>
      <w:tr>
        <w:tblPrEx>
          <w:tblCellMar>
            <w:top w:w="0" w:type="dxa"/>
            <w:left w:w="108" w:type="dxa"/>
            <w:bottom w:w="0" w:type="dxa"/>
            <w:right w:w="108" w:type="dxa"/>
          </w:tblCellMar>
        </w:tblPrEx>
        <w:trPr>
          <w:trHeight w:val="1602"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G</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330609018/2</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013306090050002</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口腔内植骨费（复杂）-口腔以外其他部位取骨（加收）</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牙位</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2880.00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3240.00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3600.00 </w:t>
            </w:r>
          </w:p>
        </w:tc>
        <w:tc>
          <w:tcPr>
            <w:tcW w:w="219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加收50%。</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此价格已在主项目价格基础上加收，不得再收取主项目。</w:t>
            </w:r>
          </w:p>
        </w:tc>
      </w:tr>
      <w:tr>
        <w:tblPrEx>
          <w:tblCellMar>
            <w:top w:w="0" w:type="dxa"/>
            <w:left w:w="108" w:type="dxa"/>
            <w:bottom w:w="0" w:type="dxa"/>
            <w:right w:w="108" w:type="dxa"/>
          </w:tblCellMar>
        </w:tblPrEx>
        <w:trPr>
          <w:trHeight w:val="2375"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23</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G</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330609019</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013306090060000</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种植体周软组织移植费</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通过局部软组织移植，改善治疗部位及周围软组织状况，达到治疗所需软组织条件。价格构成涵盖方案设计、术前准备、切开、翻瓣、供软组织制备、组织固定、缝合及处置等手术步骤人力资源和基本物资消耗</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骨粉、骨膜、胶原基骨修复材料</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牙位</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640.00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720.00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800.00 </w:t>
            </w:r>
          </w:p>
        </w:tc>
        <w:tc>
          <w:tcPr>
            <w:tcW w:w="219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内涵所指步骤，不得再另外收取医疗服务项目。</w:t>
            </w:r>
          </w:p>
        </w:tc>
      </w:tr>
      <w:tr>
        <w:tblPrEx>
          <w:tblCellMar>
            <w:top w:w="0" w:type="dxa"/>
            <w:left w:w="108" w:type="dxa"/>
            <w:bottom w:w="0" w:type="dxa"/>
            <w:right w:w="108" w:type="dxa"/>
          </w:tblCellMar>
        </w:tblPrEx>
        <w:trPr>
          <w:trHeight w:val="1842"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24</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G</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330609020</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013306090070000</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种植体取出费</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拆除患者口腔内已植入且无法继续使用的种植体。价格构成涵盖种植体拆除操作步骤的人力资源和基本基本物资消耗</w:t>
            </w:r>
          </w:p>
        </w:tc>
        <w:tc>
          <w:tcPr>
            <w:tcW w:w="2060"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牙位</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400.00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450.00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500.00 </w:t>
            </w:r>
          </w:p>
        </w:tc>
        <w:tc>
          <w:tcPr>
            <w:tcW w:w="219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内涵所指步骤，不得再另外收取医疗服务项目。</w:t>
            </w:r>
          </w:p>
        </w:tc>
      </w:tr>
      <w:tr>
        <w:tblPrEx>
          <w:tblCellMar>
            <w:top w:w="0" w:type="dxa"/>
            <w:left w:w="108" w:type="dxa"/>
            <w:bottom w:w="0" w:type="dxa"/>
            <w:right w:w="108" w:type="dxa"/>
          </w:tblCellMar>
        </w:tblPrEx>
        <w:trPr>
          <w:trHeight w:val="2407"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E</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310523012</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013105190010000</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种植牙冠修理费</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对产品保质保修条件外，种植牙冠脱落、崩瓷、嵌食、断裂等机械性或器质性损坏进行修理，恢复正常使用。价格构成涵盖种植修复置入体的检查、拆卸、修补、置入等人力资源和基本物资消耗</w:t>
            </w:r>
          </w:p>
        </w:tc>
        <w:tc>
          <w:tcPr>
            <w:tcW w:w="2060"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牙位</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640.00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720.00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800.00 </w:t>
            </w:r>
          </w:p>
        </w:tc>
        <w:tc>
          <w:tcPr>
            <w:tcW w:w="219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内涵所指步骤，不得再另外收取医疗服务项目。</w:t>
            </w:r>
          </w:p>
        </w:tc>
      </w:tr>
      <w:tr>
        <w:tblPrEx>
          <w:tblCellMar>
            <w:top w:w="0" w:type="dxa"/>
            <w:left w:w="108" w:type="dxa"/>
            <w:bottom w:w="0" w:type="dxa"/>
            <w:right w:w="108" w:type="dxa"/>
          </w:tblCellMar>
        </w:tblPrEx>
        <w:trPr>
          <w:trHeight w:val="3429"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26</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E</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310523013</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013105170040000</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医学3D建模（口腔）</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利用医学影像检查等手段获得患者特定部位的真实信息。通过数字技术构建的虚拟3D模型、真实再现口腔及颌面特定部位的形态，能够满足疾病诊断、手术规划、治疗及导板设计的需要。价格构成涵盖数字化扫描、建模、存储、传输，装置设计等步骤的人力资源和基本物资消耗</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例</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196.00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220.50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245.00 </w:t>
            </w:r>
          </w:p>
        </w:tc>
        <w:tc>
          <w:tcPr>
            <w:tcW w:w="219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内涵所指步骤，不得再另外收取医疗服务项目。</w:t>
            </w:r>
          </w:p>
        </w:tc>
      </w:tr>
      <w:tr>
        <w:tblPrEx>
          <w:tblCellMar>
            <w:top w:w="0" w:type="dxa"/>
            <w:left w:w="108" w:type="dxa"/>
            <w:bottom w:w="0" w:type="dxa"/>
            <w:right w:w="108" w:type="dxa"/>
          </w:tblCellMar>
        </w:tblPrEx>
        <w:trPr>
          <w:trHeight w:val="2272"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27</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E</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310523014</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013105230020000</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医学3D模型打印（口腔）</w:t>
            </w:r>
          </w:p>
        </w:tc>
        <w:tc>
          <w:tcPr>
            <w:tcW w:w="354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将虚拟3D模型打印或切削制作成仅用于口腔疾病诊断、手术规划、治疗及导板设计的实体模型。价格构成涵盖3D打印或切削制作的人力资源和基本物资消耗</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360.00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405.00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450.00 </w:t>
            </w:r>
          </w:p>
        </w:tc>
        <w:tc>
          <w:tcPr>
            <w:tcW w:w="219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单颗常规种植确需应用时，按10%收取</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内涵所指步骤，不得再另外收取医疗服务项目。</w:t>
            </w:r>
          </w:p>
        </w:tc>
      </w:tr>
      <w:tr>
        <w:tblPrEx>
          <w:tblCellMar>
            <w:top w:w="0" w:type="dxa"/>
            <w:left w:w="108" w:type="dxa"/>
            <w:bottom w:w="0" w:type="dxa"/>
            <w:right w:w="108" w:type="dxa"/>
          </w:tblCellMar>
        </w:tblPrEx>
        <w:trPr>
          <w:trHeight w:val="2234" w:hRule="atLeast"/>
        </w:trPr>
        <w:tc>
          <w:tcPr>
            <w:tcW w:w="541"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28</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E</w:t>
            </w:r>
          </w:p>
        </w:tc>
        <w:tc>
          <w:tcPr>
            <w:tcW w:w="153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310523015</w:t>
            </w:r>
          </w:p>
        </w:tc>
        <w:tc>
          <w:tcPr>
            <w:tcW w:w="201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013105230030000</w:t>
            </w:r>
          </w:p>
        </w:tc>
        <w:tc>
          <w:tcPr>
            <w:tcW w:w="2806"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医学3D导板打印（口腔）</w:t>
            </w:r>
          </w:p>
        </w:tc>
        <w:tc>
          <w:tcPr>
            <w:tcW w:w="3544" w:type="dxa"/>
            <w:tcBorders>
              <w:top w:val="nil"/>
              <w:left w:val="nil"/>
              <w:bottom w:val="single" w:color="auto" w:sz="4" w:space="0"/>
              <w:right w:val="single" w:color="auto" w:sz="4" w:space="0"/>
            </w:tcBorders>
            <w:noWrap/>
            <w:vAlign w:val="center"/>
          </w:tcPr>
          <w:p>
            <w:pPr>
              <w:widowControl/>
              <w:spacing w:line="260" w:lineRule="exact"/>
              <w:rPr>
                <w:rFonts w:ascii="宋体" w:hAnsi="宋体" w:cs="宋体"/>
                <w:color w:val="000000"/>
                <w:kern w:val="0"/>
                <w:sz w:val="24"/>
              </w:rPr>
            </w:pPr>
            <w:r>
              <w:rPr>
                <w:rFonts w:hint="eastAsia" w:ascii="宋体" w:hAnsi="宋体" w:cs="宋体"/>
                <w:color w:val="000000"/>
                <w:kern w:val="0"/>
                <w:sz w:val="24"/>
              </w:rPr>
              <w:t>将虚拟3D模型打印或切削制作成用于治疗部位、确保植（置）入物精准到达和处理预定位置的实物模板或手术操作对治疗部位进行精确处理。价格构成涵盖3D打印或切削制作的人力资源和基本物资消耗</w:t>
            </w:r>
          </w:p>
        </w:tc>
        <w:tc>
          <w:tcPr>
            <w:tcW w:w="206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1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1080.00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1215.00 </w:t>
            </w:r>
          </w:p>
        </w:tc>
        <w:tc>
          <w:tcPr>
            <w:tcW w:w="10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1350.00 </w:t>
            </w:r>
          </w:p>
        </w:tc>
        <w:tc>
          <w:tcPr>
            <w:tcW w:w="2194" w:type="dxa"/>
            <w:tcBorders>
              <w:top w:val="nil"/>
              <w:left w:val="nil"/>
              <w:bottom w:val="single" w:color="auto" w:sz="4" w:space="0"/>
              <w:right w:val="single" w:color="auto" w:sz="4" w:space="0"/>
            </w:tcBorders>
            <w:noWrap/>
            <w:vAlign w:val="center"/>
          </w:tcPr>
          <w:p>
            <w:pPr>
              <w:widowControl/>
              <w:rPr>
                <w:rFonts w:ascii="宋体" w:hAnsi="宋体" w:cs="宋体"/>
                <w:color w:val="000000"/>
                <w:kern w:val="0"/>
                <w:sz w:val="24"/>
              </w:rPr>
            </w:pPr>
            <w:r>
              <w:rPr>
                <w:rFonts w:hint="eastAsia" w:ascii="宋体" w:hAnsi="宋体" w:cs="宋体"/>
                <w:color w:val="000000"/>
                <w:kern w:val="0"/>
                <w:sz w:val="24"/>
              </w:rPr>
              <w:t>单颗常规种植确需应用时，按10%收取</w:t>
            </w:r>
          </w:p>
        </w:tc>
        <w:tc>
          <w:tcPr>
            <w:tcW w:w="2174"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内涵所指步骤，不得再另外收取医疗服务项目。</w:t>
            </w:r>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ODU5OTBjYzg0ODBhNGE3ZmI4OWFmM2JkMzNiMmIifQ=="/>
  </w:docVars>
  <w:rsids>
    <w:rsidRoot w:val="34D34C2E"/>
    <w:rsid w:val="19701B87"/>
    <w:rsid w:val="34D34C2E"/>
    <w:rsid w:val="40D2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before="260" w:after="260" w:line="416" w:lineRule="auto"/>
    </w:pPr>
    <w:rPr>
      <w:b/>
      <w:bCs/>
      <w:sz w:val="32"/>
      <w:szCs w:val="3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page number"/>
    <w:basedOn w:val="7"/>
    <w:qFormat/>
    <w:uiPriority w:val="0"/>
    <w:rPr>
      <w:rFonts w:ascii="Times New Roman" w:hAnsi="Times New Roman" w:cs="Times New Roman"/>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4274</Words>
  <Characters>5326</Characters>
  <Lines>0</Lines>
  <Paragraphs>0</Paragraphs>
  <TotalTime>1</TotalTime>
  <ScaleCrop>false</ScaleCrop>
  <LinksUpToDate>false</LinksUpToDate>
  <CharactersWithSpaces>5518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2023-04-14T08:01:00Z</dcterms:created>
  <dc:creator>田泰亨</dc:creator>
  <cp:lastModifiedBy>田泰亨</cp:lastModifiedBy>
  <dcterms:modified xsi:type="dcterms:W3CDTF">2023-04-14T08:05:14Z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2D151746826C4AEE944E7AAE1D567A5A_11</vt:lpwstr>
  </property>
</Properties>
</file>