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left" w:pos="8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</w:t>
      </w:r>
    </w:p>
    <w:p>
      <w:pPr>
        <w:shd w:val="clear" w:color="auto" w:fill="FFFFFF"/>
        <w:snapToGrid w:val="0"/>
        <w:jc w:val="center"/>
        <w:rPr>
          <w:rFonts w:ascii="黑体" w:hAnsi="黑体" w:eastAsia="黑体"/>
          <w:b/>
          <w:color w:val="000000" w:themeColor="text1"/>
          <w:sz w:val="4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napToGrid w:val="0"/>
        <w:jc w:val="center"/>
        <w:rPr>
          <w:rFonts w:hint="eastAsia" w:ascii="黑体" w:hAnsi="黑体" w:eastAsia="黑体"/>
          <w:b/>
          <w:color w:val="000000" w:themeColor="text1"/>
          <w:sz w:val="4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42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黑体" w:eastAsia="黑体"/>
          <w:b/>
          <w:color w:val="000000" w:themeColor="text1"/>
          <w:sz w:val="42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年度住房公积金缴存基数调整业务问答</w:t>
      </w:r>
    </w:p>
    <w:p>
      <w:pPr>
        <w:shd w:val="clear" w:color="auto" w:fill="FFFFFF"/>
        <w:snapToGrid w:val="0"/>
        <w:jc w:val="center"/>
        <w:rPr>
          <w:rFonts w:hint="eastAsia" w:ascii="黑体" w:hAnsi="黑体" w:eastAsia="黑体"/>
          <w:b/>
          <w:color w:val="000000" w:themeColor="text1"/>
          <w:sz w:val="4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/>
          <w:b/>
          <w:sz w:val="30"/>
          <w:szCs w:val="24"/>
        </w:rPr>
      </w:pPr>
      <w:r>
        <w:rPr>
          <w:rFonts w:ascii="仿宋_GB2312" w:hAnsi="仿宋_GB2312" w:eastAsia="仿宋_GB2312"/>
          <w:b/>
          <w:sz w:val="30"/>
          <w:szCs w:val="24"/>
        </w:rPr>
        <w:t xml:space="preserve">    </w:t>
      </w:r>
      <w:r>
        <w:rPr>
          <w:rFonts w:hint="eastAsia" w:ascii="仿宋_GB2312" w:hAnsi="仿宋_GB2312" w:eastAsia="仿宋_GB2312"/>
          <w:b/>
          <w:sz w:val="30"/>
          <w:szCs w:val="24"/>
        </w:rPr>
        <w:t>一、职工个人住房公积金缴存基数如何确定？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职工个人住房公积金缴存基数按其2020年月平均工资确定，工资计算按照国家统计局相关规定执行。2021年度住房公积金缴存基数不高于本市统计部门公布的2020年城镇非私营单位在岗职工月平均工资的3倍，即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23444</w:t>
      </w:r>
      <w:r>
        <w:rPr>
          <w:rFonts w:hint="eastAsia" w:ascii="仿宋_GB2312" w:hAnsi="仿宋_GB2312" w:eastAsia="仿宋_GB2312"/>
          <w:sz w:val="30"/>
          <w:szCs w:val="24"/>
        </w:rPr>
        <w:t>元。月缴存额不低于260元（含单位、个人两部分）。</w:t>
      </w:r>
    </w:p>
    <w:p>
      <w:pPr>
        <w:rPr>
          <w:rFonts w:ascii="仿宋_GB2312" w:hAnsi="仿宋_GB2312" w:eastAsia="仿宋_GB2312"/>
          <w:sz w:val="30"/>
          <w:szCs w:val="24"/>
        </w:rPr>
      </w:pPr>
    </w:p>
    <w:p>
      <w:pPr>
        <w:ind w:firstLine="602" w:firstLineChars="200"/>
        <w:rPr>
          <w:rFonts w:ascii="仿宋_GB2312" w:hAnsi="仿宋_GB2312" w:eastAsia="仿宋_GB2312"/>
          <w:b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二、生产经营困难的企业是否可以降低缴存比例，降低缴存比例后还需办理年度缴存基数调整吗？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生产经营困难的企业，可以向公积金中心申请降低缴存比例或者缓缴。具体办理指引请登录我中心网站-办事指南-《缴存业务类型之十：单位缴存缓缴》和《缴存业务类型之十一：降低单位缴存比例》。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困难单位完成降低缴存比例申请手续后，按程序办理2021年度住房公积金缴存基数调整。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24"/>
        </w:rPr>
      </w:pPr>
    </w:p>
    <w:p>
      <w:pPr>
        <w:ind w:firstLine="602" w:firstLineChars="200"/>
        <w:rPr>
          <w:rFonts w:ascii="仿宋_GB2312" w:hAnsi="仿宋_GB2312" w:eastAsia="仿宋_GB2312"/>
          <w:kern w:val="0"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三</w:t>
      </w:r>
      <w:r>
        <w:rPr>
          <w:rFonts w:hint="eastAsia" w:ascii="仿宋_GB2312" w:hAnsi="仿宋_GB2312" w:eastAsia="仿宋_GB2312"/>
          <w:b/>
          <w:kern w:val="0"/>
          <w:sz w:val="30"/>
          <w:szCs w:val="24"/>
        </w:rPr>
        <w:t>、缴存单位办理年度缴存基数调整的时间？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各缴存单位办理新年度缴存基数调整（2021年7月及之后开设单位账户的除外）的时段为2021年7月1日至2022年6月30日。</w:t>
      </w:r>
    </w:p>
    <w:p>
      <w:pPr>
        <w:rPr>
          <w:rFonts w:ascii="仿宋_GB2312" w:hAnsi="仿宋_GB2312" w:eastAsia="仿宋_GB2312"/>
          <w:kern w:val="0"/>
          <w:sz w:val="30"/>
          <w:szCs w:val="24"/>
        </w:rPr>
      </w:pPr>
    </w:p>
    <w:p>
      <w:pPr>
        <w:ind w:firstLine="602" w:firstLineChars="200"/>
        <w:jc w:val="left"/>
        <w:rPr>
          <w:rFonts w:ascii="仿宋_GB2312" w:hAnsi="仿宋_GB2312" w:eastAsia="仿宋_GB2312"/>
          <w:b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四、缴存单位如何办理年度缴存基数调整？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网上自主办理（已开通网上业务）：登录网上办事大厅办理。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线下网点办理：填报《住房公积金年度缴存清册》（行政事业单位和国有企业还需填报《缴存基数核定表》）→打印一份加盖单位公章并提供电子文档 →到中心网点现场办理。</w:t>
      </w:r>
    </w:p>
    <w:p>
      <w:pPr>
        <w:jc w:val="left"/>
        <w:rPr>
          <w:rFonts w:ascii="仿宋_GB2312" w:hAnsi="仿宋_GB2312" w:eastAsia="仿宋_GB2312"/>
          <w:sz w:val="30"/>
          <w:szCs w:val="24"/>
        </w:rPr>
      </w:pPr>
    </w:p>
    <w:p>
      <w:pPr>
        <w:ind w:firstLine="602" w:firstLineChars="200"/>
        <w:jc w:val="left"/>
        <w:rPr>
          <w:rFonts w:ascii="仿宋_GB2312" w:hAnsi="仿宋_GB2312" w:eastAsia="仿宋_GB2312"/>
          <w:b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五、缴存单位是否可以多次办理年度缴存基数调整？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住房公积金缴存基数、缴存比例等一经确定，在一个缴存年度内不得变更。在同一缴存年度内，职工个人月缴存额应一致，因缴存基数调整等发生变更的，单位须及时办理补缴或退款。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例：A单位在当年12月份办理年度缴存基数调整业务，其职工张三月缴存额调增了200元，李四月缴存额调减了100元。则A单位应及时为张三补缴7月至11月共5个月的差额200*5=1000元，从李四个人公积金账户上退回7月到11月共5个月的差额100*5=500元。</w:t>
      </w:r>
    </w:p>
    <w:p>
      <w:pPr>
        <w:ind w:firstLine="600" w:firstLineChars="200"/>
        <w:jc w:val="left"/>
        <w:rPr>
          <w:rFonts w:ascii="仿宋_GB2312" w:hAnsi="仿宋_GB2312" w:eastAsia="仿宋_GB2312"/>
          <w:sz w:val="30"/>
          <w:szCs w:val="24"/>
        </w:rPr>
      </w:pPr>
    </w:p>
    <w:p>
      <w:pPr>
        <w:ind w:firstLine="602" w:firstLineChars="200"/>
        <w:jc w:val="left"/>
        <w:rPr>
          <w:rFonts w:ascii="仿宋_GB2312" w:hAnsi="仿宋_GB2312" w:eastAsia="仿宋_GB2312"/>
          <w:b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六、缴存单位未及时办理年度缴存基数调整的，是否仍需按月缴存住房公积金？</w:t>
      </w:r>
    </w:p>
    <w:p>
      <w:pPr>
        <w:spacing w:line="560" w:lineRule="exact"/>
        <w:ind w:firstLine="600" w:firstLineChars="200"/>
        <w:outlineLvl w:val="0"/>
        <w:rPr>
          <w:rFonts w:hint="eastAsia" w:ascii="仿宋_GB2312" w:hAnsi="仿宋_GB2312" w:eastAsia="仿宋_GB2312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</w:rPr>
        <w:t>缴存单位未及时完成新年度缴存基数调整的，应当继续按时逐月缴存住房公积金。若因单位未连续缴存而影响职工申请住房公积金贷款的，由单位承担责任。</w:t>
      </w:r>
    </w:p>
    <w:p>
      <w:pPr>
        <w:ind w:firstLine="600" w:firstLineChars="200"/>
        <w:jc w:val="left"/>
        <w:rPr>
          <w:rFonts w:ascii="仿宋_GB2312" w:hAnsi="仿宋_GB2312" w:eastAsia="仿宋_GB2312"/>
          <w:sz w:val="30"/>
          <w:szCs w:val="24"/>
        </w:rPr>
      </w:pPr>
    </w:p>
    <w:p>
      <w:pPr>
        <w:ind w:firstLine="602" w:firstLineChars="200"/>
        <w:jc w:val="left"/>
        <w:rPr>
          <w:rFonts w:ascii="仿宋_GB2312" w:hAnsi="仿宋_GB2312" w:eastAsia="仿宋_GB2312"/>
          <w:b/>
          <w:sz w:val="30"/>
          <w:szCs w:val="24"/>
        </w:rPr>
      </w:pPr>
      <w:r>
        <w:rPr>
          <w:rFonts w:hint="eastAsia" w:ascii="仿宋_GB2312" w:hAnsi="仿宋_GB2312" w:eastAsia="仿宋_GB2312"/>
          <w:b/>
          <w:sz w:val="30"/>
          <w:szCs w:val="24"/>
        </w:rPr>
        <w:t>七、《缴存基数核定表》填报的注意事项？</w:t>
      </w:r>
    </w:p>
    <w:p>
      <w:r>
        <w:rPr>
          <w:rFonts w:hint="eastAsia" w:ascii="仿宋_GB2312" w:hAnsi="仿宋_GB2312" w:eastAsia="仿宋_GB2312"/>
          <w:sz w:val="30"/>
          <w:szCs w:val="24"/>
        </w:rPr>
        <w:t>行政事业单位和国有企业进行年度缴存基数调整时除了提交《南昌住房公积金年度缴存清册》，还需提交加盖公章的《缴存基数核定表》。《缴存基数核定表》中所列收入项若不涵盖职工可计入工资总收入项的，请在系统录入时将相应数值列入“其他”项，在纸质表格中逐一列出收入名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F87A2"/>
    <w:multiLevelType w:val="multilevel"/>
    <w:tmpl w:val="56DF87A2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  <w:sz w:val="36"/>
        <w:szCs w:val="36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tabs>
          <w:tab w:val="left" w:pos="1998"/>
        </w:tabs>
        <w:ind w:left="1998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313C1"/>
    <w:rsid w:val="62F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2021-06-25T09:41:00Z</dcterms:created>
  <dc:creator>DaiMinghao</dc:creator>
  <cp:lastModifiedBy>DaiMinghao</cp:lastModifiedBy>
  <dcterms:modified xsi:type="dcterms:W3CDTF">2021-06-25T09:41:16Z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3A60636638D847F4844DD61E7F9BC838</vt:lpwstr>
  </property>
</Properties>
</file>