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文星简小标宋"/>
          <w:color w:val="FF0000"/>
          <w:spacing w:val="-12"/>
          <w:w w:val="64"/>
          <w:sz w:val="92"/>
          <w:szCs w:val="92"/>
        </w:rPr>
      </w:pPr>
    </w:p>
    <w:p>
      <w:pPr>
        <w:tabs>
          <w:tab w:val="left" w:pos="606"/>
        </w:tabs>
        <w:jc w:val="center"/>
        <w:rPr>
          <w:rFonts w:eastAsia="方正小标宋简体"/>
          <w:color w:val="FF0000"/>
          <w:spacing w:val="40"/>
          <w:w w:val="50"/>
          <w:sz w:val="106"/>
          <w:szCs w:val="106"/>
        </w:rPr>
      </w:pPr>
      <w:r>
        <w:rPr>
          <w:rFonts w:hint="eastAsia" w:eastAsia="方正小标宋简体"/>
          <w:color w:val="FF0000"/>
          <w:spacing w:val="40"/>
          <w:w w:val="66"/>
          <w:sz w:val="112"/>
          <w:szCs w:val="112"/>
        </w:rPr>
        <w:t>天津市医疗保障局文件</w:t>
      </w:r>
    </w:p>
    <w:p>
      <w:pPr>
        <w:rPr>
          <w:rFonts w:eastAsia="仿宋_GB2312"/>
          <w:b/>
          <w:color w:val="000000"/>
          <w:sz w:val="44"/>
          <w:szCs w:val="44"/>
        </w:rPr>
      </w:pPr>
    </w:p>
    <w:p>
      <w:pPr>
        <w:rPr>
          <w:rFonts w:eastAsia="仿宋_GB2312"/>
          <w:b/>
          <w:color w:val="000000"/>
          <w:sz w:val="44"/>
          <w:szCs w:val="44"/>
        </w:rPr>
      </w:pPr>
    </w:p>
    <w:p>
      <w:pPr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津医保</w:t>
      </w:r>
      <w:r>
        <w:rPr>
          <w:rFonts w:hint="eastAsia" w:eastAsia="仿宋_GB2312"/>
          <w:color w:val="000000"/>
          <w:sz w:val="32"/>
          <w:szCs w:val="32"/>
        </w:rPr>
        <w:t>规字</w:t>
      </w:r>
      <w:r>
        <w:rPr>
          <w:rFonts w:eastAsia="仿宋_GB2312"/>
          <w:color w:val="000000"/>
          <w:sz w:val="32"/>
          <w:szCs w:val="32"/>
        </w:rPr>
        <w:t>〔20</w:t>
      </w:r>
      <w:r>
        <w:rPr>
          <w:rFonts w:hint="eastAsia" w:eastAsia="仿宋_GB2312"/>
          <w:color w:val="000000"/>
          <w:sz w:val="32"/>
          <w:szCs w:val="32"/>
        </w:rPr>
        <w:t>21</w:t>
      </w:r>
      <w:r>
        <w:rPr>
          <w:rFonts w:eastAsia="仿宋_GB2312"/>
          <w:color w:val="000000"/>
          <w:sz w:val="32"/>
          <w:szCs w:val="32"/>
        </w:rPr>
        <w:t>〕</w:t>
      </w:r>
      <w:r>
        <w:rPr>
          <w:rFonts w:hint="default" w:eastAsia="仿宋_GB2312"/>
          <w:color w:val="000000"/>
          <w:sz w:val="32"/>
          <w:szCs w:val="32"/>
        </w:rPr>
        <w:t>10</w:t>
      </w:r>
      <w:r>
        <w:rPr>
          <w:rFonts w:eastAsia="仿宋_GB2312"/>
          <w:color w:val="000000"/>
          <w:sz w:val="32"/>
          <w:szCs w:val="32"/>
        </w:rPr>
        <w:t>号</w:t>
      </w:r>
    </w:p>
    <w:p>
      <w:pPr>
        <w:spacing w:line="578" w:lineRule="exact"/>
        <w:rPr>
          <w:b/>
          <w:kern w:val="0"/>
          <w:sz w:val="34"/>
        </w:rPr>
      </w:pPr>
      <w:r>
        <w:rPr>
          <w:rFonts w:eastAsia="文星简小标宋"/>
          <w:bCs/>
          <w:sz w:val="44"/>
          <w:szCs w:val="44"/>
        </w:rPr>
        <w:pict>
          <v:line id="_x0000_s1057" o:spid="_x0000_s1057" o:spt="20" style="position:absolute;left:0pt;margin-left:-5.95pt;margin-top:4.35pt;height:0pt;width:453.25pt;z-index:251656192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文星简小标宋" w:hAnsi="宋体" w:eastAsia="文星简小标宋"/>
          <w:bCs/>
          <w:szCs w:val="44"/>
        </w:rPr>
      </w:pPr>
      <w:r>
        <w:rPr>
          <w:rFonts w:hint="default" w:ascii="文星简小标宋" w:hAnsi="宋体" w:eastAsia="文星简小标宋"/>
          <w:bCs/>
          <w:szCs w:val="44"/>
        </w:rPr>
        <w:t>关于印发《</w:t>
      </w:r>
      <w:r>
        <w:rPr>
          <w:rFonts w:hint="eastAsia" w:ascii="文星简小标宋" w:hAnsi="宋体" w:eastAsia="文星简小标宋"/>
          <w:bCs/>
          <w:szCs w:val="44"/>
        </w:rPr>
        <w:t>规范天津市医疗保障行政处罚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文星简小标宋" w:hAnsi="宋体" w:eastAsia="文星简小标宋"/>
          <w:bCs/>
          <w:szCs w:val="44"/>
        </w:rPr>
      </w:pPr>
      <w:r>
        <w:rPr>
          <w:rFonts w:hint="eastAsia" w:ascii="文星简小标宋" w:hAnsi="宋体" w:eastAsia="文星简小标宋"/>
          <w:bCs/>
          <w:szCs w:val="44"/>
        </w:rPr>
        <w:t>裁量权实施办法</w:t>
      </w:r>
      <w:r>
        <w:rPr>
          <w:rFonts w:hint="default" w:ascii="文星简小标宋" w:hAnsi="宋体" w:eastAsia="文星简小标宋"/>
          <w:bCs/>
          <w:szCs w:val="44"/>
        </w:rPr>
        <w:t>》的通知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文星简小标宋" w:hAnsi="宋体" w:eastAsia="文星简小标宋"/>
          <w:bCs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</w:rPr>
        <w:t>各区医疗保障局，局属</w:t>
      </w:r>
      <w:r>
        <w:rPr>
          <w:rFonts w:hint="eastAsia" w:eastAsia="仿宋_GB2312"/>
          <w:sz w:val="32"/>
        </w:rPr>
        <w:t>各</w:t>
      </w:r>
      <w:r>
        <w:rPr>
          <w:rFonts w:eastAsia="仿宋_GB2312"/>
          <w:sz w:val="32"/>
        </w:rPr>
        <w:t>单位，各定点医药机构，有关单位：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Ansi="Calibri" w:eastAsia="仿宋_GB2312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为贯彻落实《医疗保障基金使用监督管理条例》</w:t>
      </w: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《国家医疗保障局关于印发&lt;规范医疗保障基金使用监督管理行政处罚裁量权办法&gt;的通知》</w:t>
      </w:r>
      <w:r>
        <w:rPr>
          <w:rFonts w:ascii="Times New Roman" w:hAnsi="仿宋_GB2312" w:eastAsia="仿宋_GB2312" w:cs="Times New Roman"/>
          <w:sz w:val="32"/>
          <w:szCs w:val="32"/>
        </w:rPr>
        <w:t>，进一步健全医</w:t>
      </w:r>
      <w:r>
        <w:rPr>
          <w:rFonts w:hAnsi="仿宋_GB2312" w:eastAsia="仿宋_GB2312"/>
          <w:sz w:val="32"/>
          <w:szCs w:val="32"/>
        </w:rPr>
        <w:t>疗保障基金监管制度体系，规范医保行政处罚裁量标准，严厉打击欺诈骗保行为，</w:t>
      </w:r>
      <w:r>
        <w:rPr>
          <w:rFonts w:hAnsi="Calibri" w:eastAsia="仿宋_GB2312"/>
          <w:sz w:val="32"/>
          <w:szCs w:val="32"/>
        </w:rPr>
        <w:t>结合医保工作实际，市医保局制定了《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规范天津市医疗保障行政处罚裁量权实施办法</w:t>
      </w:r>
      <w:r>
        <w:rPr>
          <w:rFonts w:hAnsi="Calibri" w:eastAsia="仿宋_GB2312"/>
          <w:sz w:val="32"/>
          <w:szCs w:val="32"/>
        </w:rPr>
        <w:t>》</w:t>
      </w:r>
      <w:r>
        <w:rPr>
          <w:rFonts w:hint="eastAsia" w:hAnsi="Calibri" w:eastAsia="仿宋_GB2312"/>
          <w:sz w:val="32"/>
          <w:szCs w:val="32"/>
          <w:lang w:eastAsia="zh-CN"/>
        </w:rPr>
        <w:t>，现</w:t>
      </w:r>
      <w:r>
        <w:rPr>
          <w:rFonts w:hAnsi="Calibri" w:eastAsia="仿宋_GB2312"/>
          <w:sz w:val="32"/>
          <w:szCs w:val="32"/>
        </w:rPr>
        <w:t>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right="1470" w:rightChars="700"/>
        <w:jc w:val="righ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Ansi="Calibri" w:eastAsia="仿宋_GB2312"/>
          <w:sz w:val="32"/>
          <w:szCs w:val="32"/>
        </w:rPr>
        <w:t>年</w:t>
      </w:r>
      <w:r>
        <w:rPr>
          <w:rFonts w:hint="default" w:hAnsi="Calibri" w:eastAsia="仿宋_GB2312"/>
          <w:sz w:val="32"/>
          <w:szCs w:val="32"/>
          <w:lang w:eastAsia="zh-CN"/>
        </w:rPr>
        <w:t>10</w:t>
      </w:r>
      <w:r>
        <w:rPr>
          <w:rFonts w:hAnsi="Calibri" w:eastAsia="仿宋_GB2312"/>
          <w:sz w:val="32"/>
          <w:szCs w:val="32"/>
        </w:rPr>
        <w:t>月</w:t>
      </w:r>
      <w:r>
        <w:rPr>
          <w:rFonts w:hint="default" w:hAnsi="Calibri" w:eastAsia="仿宋_GB2312"/>
          <w:sz w:val="32"/>
          <w:szCs w:val="32"/>
          <w:lang w:eastAsia="zh-CN"/>
        </w:rPr>
        <w:t>22</w:t>
      </w:r>
      <w:r>
        <w:rPr>
          <w:rFonts w:hAnsi="Calibri" w:eastAsia="仿宋_GB2312"/>
          <w:sz w:val="32"/>
          <w:szCs w:val="32"/>
        </w:rPr>
        <w:t>日</w:t>
      </w:r>
    </w:p>
    <w:p>
      <w:pPr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Ansi="Calibri" w:eastAsia="仿宋_GB2312"/>
          <w:sz w:val="32"/>
          <w:szCs w:val="32"/>
        </w:rPr>
        <w:t>（此件主动公开）</w:t>
      </w:r>
    </w:p>
    <w:p>
      <w:pPr>
        <w:rPr>
          <w:rFonts w:eastAsia="仿宋_GB2312"/>
          <w:sz w:val="36"/>
          <w:szCs w:val="36"/>
          <w:highlight w:val="none"/>
        </w:rPr>
      </w:pPr>
    </w:p>
    <w:p>
      <w:pPr>
        <w:widowControl/>
        <w:snapToGrid w:val="0"/>
        <w:spacing w:line="580" w:lineRule="exact"/>
        <w:jc w:val="center"/>
        <w:rPr>
          <w:rFonts w:ascii="Times New Roman" w:hAnsi="Times New Roman" w:eastAsia="文星简小标宋"/>
          <w:sz w:val="44"/>
          <w:szCs w:val="44"/>
        </w:rPr>
      </w:pPr>
      <w:r>
        <w:rPr>
          <w:rFonts w:hint="eastAsia" w:ascii="Times New Roman" w:hAnsi="Times New Roman" w:eastAsia="文星简小标宋"/>
          <w:sz w:val="44"/>
          <w:szCs w:val="44"/>
        </w:rPr>
        <w:t>规范</w:t>
      </w:r>
      <w:r>
        <w:rPr>
          <w:rFonts w:ascii="Times New Roman" w:hAnsi="Times New Roman" w:eastAsia="文星简小标宋"/>
          <w:sz w:val="44"/>
          <w:szCs w:val="44"/>
        </w:rPr>
        <w:t>天津市医疗保障行政处罚</w:t>
      </w:r>
    </w:p>
    <w:p>
      <w:pPr>
        <w:snapToGrid w:val="0"/>
        <w:spacing w:line="578" w:lineRule="exact"/>
        <w:jc w:val="center"/>
        <w:rPr>
          <w:rFonts w:ascii="Times New Roman" w:hAnsi="Times New Roman" w:eastAsia="文星简小标宋"/>
          <w:sz w:val="44"/>
          <w:szCs w:val="44"/>
        </w:rPr>
      </w:pPr>
      <w:r>
        <w:rPr>
          <w:rFonts w:ascii="Times New Roman" w:hAnsi="Times New Roman" w:eastAsia="文星简小标宋"/>
          <w:sz w:val="44"/>
          <w:szCs w:val="44"/>
        </w:rPr>
        <w:t>裁量权实施办法</w:t>
      </w:r>
    </w:p>
    <w:p>
      <w:pPr>
        <w:snapToGrid w:val="0"/>
        <w:spacing w:line="578" w:lineRule="exact"/>
        <w:jc w:val="center"/>
        <w:rPr>
          <w:rFonts w:ascii="Times New Roman" w:hAnsi="Times New Roman" w:eastAsia="文星简小标宋"/>
          <w:sz w:val="44"/>
          <w:szCs w:val="44"/>
        </w:rPr>
      </w:pP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 xml:space="preserve">第一条 </w:t>
      </w:r>
      <w:r>
        <w:rPr>
          <w:rFonts w:ascii="Times New Roman" w:hAnsi="Times New Roman" w:eastAsia="仿宋_GB2312"/>
          <w:sz w:val="32"/>
          <w:szCs w:val="32"/>
        </w:rPr>
        <w:t>为规范医疗保障行政处罚裁量权，统一处罚标准，依据《中华人民共和国行政处罚法》《中华人民共和国社会保险法》《医疗保障基金使用监督管理条例》《天津市基本医疗保险条例》</w:t>
      </w:r>
      <w:r>
        <w:rPr>
          <w:rFonts w:hint="eastAsia" w:eastAsia="仿宋_GB2312"/>
          <w:sz w:val="32"/>
          <w:szCs w:val="32"/>
        </w:rPr>
        <w:t>《</w:t>
      </w:r>
      <w:r>
        <w:rPr>
          <w:rFonts w:eastAsia="仿宋_GB2312"/>
          <w:sz w:val="32"/>
          <w:szCs w:val="32"/>
        </w:rPr>
        <w:t>天津市基本医疗保险</w:t>
      </w:r>
      <w:r>
        <w:rPr>
          <w:rFonts w:hint="eastAsia" w:eastAsia="仿宋_GB2312"/>
          <w:sz w:val="32"/>
          <w:szCs w:val="32"/>
        </w:rPr>
        <w:t>规定》等</w:t>
      </w:r>
      <w:r>
        <w:rPr>
          <w:rFonts w:ascii="Times New Roman" w:hAnsi="Times New Roman" w:eastAsia="仿宋_GB2312"/>
          <w:sz w:val="32"/>
          <w:szCs w:val="32"/>
        </w:rPr>
        <w:t>法律、法规、规章，结合本市工作实际，制定本办法。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 xml:space="preserve">第二条 </w:t>
      </w:r>
      <w:r>
        <w:rPr>
          <w:rFonts w:ascii="Times New Roman" w:hAnsi="Times New Roman" w:eastAsia="仿宋_GB2312"/>
          <w:sz w:val="32"/>
          <w:szCs w:val="32"/>
        </w:rPr>
        <w:t>医疗保障行政部门依法对违反医疗保障法律、法规、规章的行为实施行政处罚</w:t>
      </w:r>
      <w:r>
        <w:rPr>
          <w:rFonts w:hint="eastAsia" w:ascii="Times New Roman" w:hAnsi="Times New Roman" w:eastAsia="仿宋_GB2312"/>
          <w:sz w:val="32"/>
          <w:szCs w:val="32"/>
        </w:rPr>
        <w:t>种类和</w:t>
      </w:r>
      <w:r>
        <w:rPr>
          <w:rFonts w:ascii="Times New Roman" w:hAnsi="Times New Roman" w:eastAsia="仿宋_GB2312"/>
          <w:sz w:val="32"/>
          <w:szCs w:val="32"/>
        </w:rPr>
        <w:t>幅度的裁量，适用本办法。</w:t>
      </w:r>
    </w:p>
    <w:p>
      <w:pPr>
        <w:snapToGrid w:val="0"/>
        <w:spacing w:line="578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 xml:space="preserve">第三条 </w:t>
      </w:r>
      <w:r>
        <w:rPr>
          <w:rFonts w:ascii="Times New Roman" w:hAnsi="Times New Roman" w:eastAsia="仿宋_GB2312"/>
          <w:sz w:val="32"/>
          <w:szCs w:val="32"/>
        </w:rPr>
        <w:t>实施行政处罚应当遵循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公正公开</w:t>
      </w:r>
      <w:r>
        <w:rPr>
          <w:rFonts w:ascii="Times New Roman" w:hAnsi="Times New Roman" w:eastAsia="仿宋_GB2312"/>
          <w:sz w:val="32"/>
          <w:szCs w:val="32"/>
        </w:rPr>
        <w:t>、过罚相当、处罚</w:t>
      </w:r>
    </w:p>
    <w:p>
      <w:pPr>
        <w:snapToGrid w:val="0"/>
        <w:spacing w:line="578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与教育相结合</w:t>
      </w:r>
      <w:r>
        <w:rPr>
          <w:rFonts w:hint="eastAsia" w:ascii="Times New Roman" w:hAnsi="Times New Roman" w:eastAsia="仿宋_GB2312"/>
          <w:sz w:val="32"/>
          <w:szCs w:val="32"/>
        </w:rPr>
        <w:t>、执法与普法相结合</w:t>
      </w:r>
      <w:r>
        <w:rPr>
          <w:rFonts w:ascii="Times New Roman" w:hAnsi="Times New Roman" w:eastAsia="仿宋_GB2312"/>
          <w:sz w:val="32"/>
          <w:szCs w:val="32"/>
        </w:rPr>
        <w:t>的原则，以事实为依据，以法律为准绳。</w:t>
      </w:r>
    </w:p>
    <w:p>
      <w:pPr>
        <w:snapToGrid w:val="0"/>
        <w:spacing w:line="578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 xml:space="preserve">第四条 </w:t>
      </w:r>
      <w:r>
        <w:rPr>
          <w:rFonts w:ascii="Times New Roman" w:hAnsi="Times New Roman" w:eastAsia="仿宋_GB2312"/>
          <w:sz w:val="32"/>
          <w:szCs w:val="32"/>
        </w:rPr>
        <w:t>实施行政处罚应当严格履行法定程序，充分听取当</w:t>
      </w:r>
    </w:p>
    <w:p>
      <w:pPr>
        <w:snapToGrid w:val="0"/>
        <w:spacing w:line="578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事人的陈述、申辩意见。当事人申请听证的，应当依法组织听证。不得因当事人提出陈述、申辩或者申请听证而加重处罚。</w:t>
      </w:r>
    </w:p>
    <w:p>
      <w:pPr>
        <w:snapToGrid w:val="0"/>
        <w:spacing w:line="578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 xml:space="preserve">第五条 </w:t>
      </w:r>
      <w:r>
        <w:rPr>
          <w:rFonts w:ascii="Times New Roman" w:hAnsi="Times New Roman" w:eastAsia="仿宋_GB2312"/>
          <w:sz w:val="32"/>
          <w:szCs w:val="32"/>
        </w:rPr>
        <w:t>行政处罚应与违法行为的事实、性质、情节、社会</w:t>
      </w:r>
    </w:p>
    <w:p>
      <w:pPr>
        <w:snapToGrid w:val="0"/>
        <w:spacing w:line="578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危害程度及当事人主观过错等因素相当。属于定点医药机构的，同时按照医保服务协议进行相应处理。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第六条</w:t>
      </w:r>
      <w:r>
        <w:rPr>
          <w:rFonts w:ascii="Times New Roman" w:hAnsi="Times New Roman" w:eastAsia="仿宋_GB2312"/>
          <w:sz w:val="32"/>
          <w:szCs w:val="32"/>
        </w:rPr>
        <w:t xml:space="preserve"> 定点医药机构存在《医疗保障基金使用监督管理条例》第三十九条所规定的违法情形且拒不改正的，对第（一）项情形处1万元罚款；对第（二）项情形处4万元罚款；对第（三）、（四）项情形处3万元罚款；对第（五）、（六）项情形处2万元罚款；对第（七）项情形处5万元罚款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定点医药机构存在多项违法情形的，累加计算。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第七条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参保人员存在《医疗保障基金使用监督管理条例》第四十一条情形的，暂停其医疗费用联网结算3个月；违法金额在</w:t>
      </w:r>
      <w:r>
        <w:rPr>
          <w:rFonts w:ascii="Times New Roman" w:hAnsi="Times New Roman" w:eastAsia="仿宋_GB2312"/>
          <w:sz w:val="32"/>
          <w:szCs w:val="32"/>
          <w:highlight w:val="none"/>
        </w:rPr>
        <w:t>3万元以上不满5万元的，暂停其医疗费用联网结算6个月；违法金额在5万元以上不满10万元</w:t>
      </w:r>
      <w:r>
        <w:rPr>
          <w:rFonts w:ascii="Times New Roman" w:hAnsi="Times New Roman" w:eastAsia="仿宋_GB2312"/>
          <w:sz w:val="32"/>
          <w:szCs w:val="32"/>
        </w:rPr>
        <w:t>的，暂停其医疗费用联网结算9个月；违法金额在10万元以上的，暂停其医疗费用联网结算12个月。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第八条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定点医药机构有下列情形之一，拒不改正或者造成严重后果的，责令定点医药机构暂停相关责任部门6个月涉及医疗保障基金使用的医药服务；造成医疗保障基金损失的，责令退回，处造成损失金额1倍的罚款：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（一）分解住院、挂床住院；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（二）违反诊疗规范过度诊疗、过度检查、分解处方、超量开药、重复开药或者提供其他不必要的医药服务；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（三）重复收费、超标准收费、分解项目收费；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串换药品、医用耗材、诊疗项目和服务设施；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冒用基本医疗保险服务医师、药师名义申报医疗费用；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（六）违法金额不满30万元；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（七）其他造成医疗保障基金损失的</w:t>
      </w:r>
      <w:r>
        <w:rPr>
          <w:rFonts w:hint="eastAsia" w:ascii="Times New Roman" w:hAnsi="Times New Roman" w:eastAsia="仿宋_GB2312"/>
          <w:sz w:val="32"/>
          <w:szCs w:val="32"/>
        </w:rPr>
        <w:t>较轻</w:t>
      </w:r>
      <w:r>
        <w:rPr>
          <w:rFonts w:ascii="Times New Roman" w:hAnsi="Times New Roman" w:eastAsia="仿宋_GB2312"/>
          <w:sz w:val="32"/>
          <w:szCs w:val="32"/>
        </w:rPr>
        <w:t>违法行为。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第九条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定点医药机构有下列情形之一，拒不改正或者造成严重后果的，责令定点医药机构暂停相关责任部门1年涉及医疗保障基金使用的医药服务；造成医疗保障基金损失的，责令退回，处造成损失金额2倍的罚款：</w:t>
      </w:r>
    </w:p>
    <w:p>
      <w:pPr>
        <w:snapToGrid w:val="0"/>
        <w:spacing w:line="578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（一）</w:t>
      </w:r>
      <w:r>
        <w:rPr>
          <w:rFonts w:ascii="Times New Roman" w:hAnsi="Times New Roman" w:eastAsia="仿宋_GB2312"/>
          <w:sz w:val="32"/>
          <w:szCs w:val="32"/>
        </w:rPr>
        <w:t>为参保人员利用其享受医疗保障待遇的机会转卖药品，接受返还现金、实物或者获得其他非法利益提供便利；</w:t>
      </w:r>
    </w:p>
    <w:p>
      <w:pPr>
        <w:snapToGrid w:val="0"/>
        <w:spacing w:line="578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（二）</w:t>
      </w:r>
      <w:r>
        <w:rPr>
          <w:rFonts w:ascii="Times New Roman" w:hAnsi="Times New Roman" w:eastAsia="仿宋_GB2312"/>
          <w:sz w:val="32"/>
          <w:szCs w:val="32"/>
        </w:rPr>
        <w:t>将不属于医疗保障基金支付范围的医药费用纳入医</w:t>
      </w:r>
    </w:p>
    <w:p>
      <w:pPr>
        <w:snapToGrid w:val="0"/>
        <w:spacing w:line="578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疗保障基金结算；</w:t>
      </w:r>
    </w:p>
    <w:p>
      <w:pPr>
        <w:snapToGrid w:val="0"/>
        <w:spacing w:line="578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（三）违法金额在30万元以上；</w:t>
      </w:r>
    </w:p>
    <w:p>
      <w:pPr>
        <w:snapToGrid w:val="0"/>
        <w:spacing w:line="578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（四）其他造成医疗保障基金损失的</w:t>
      </w:r>
      <w:r>
        <w:rPr>
          <w:rFonts w:hint="eastAsia" w:ascii="Times New Roman" w:hAnsi="Times New Roman" w:eastAsia="仿宋_GB2312"/>
          <w:sz w:val="32"/>
          <w:szCs w:val="32"/>
        </w:rPr>
        <w:t>一般</w:t>
      </w:r>
      <w:r>
        <w:rPr>
          <w:rFonts w:ascii="Times New Roman" w:hAnsi="Times New Roman" w:eastAsia="仿宋_GB2312"/>
          <w:sz w:val="32"/>
          <w:szCs w:val="32"/>
        </w:rPr>
        <w:t>违法行为。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第十条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定点医药机构或个人有下列情形之一，骗取医疗保障基金支出的，责令退回，处骗取金额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倍的罚款；属于定点医药机构的，责令定点医药机构暂停相关责任部门6个月涉及医疗保障基金使用的医药服务：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一</w:t>
      </w:r>
      <w:r>
        <w:rPr>
          <w:rFonts w:ascii="Times New Roman" w:hAnsi="Times New Roman" w:eastAsia="仿宋_GB2312"/>
          <w:sz w:val="32"/>
          <w:szCs w:val="32"/>
        </w:rPr>
        <w:t>）变造、涂改医学文书、医学证明、会计凭证、电子信息等有关资料；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二</w:t>
      </w:r>
      <w:r>
        <w:rPr>
          <w:rFonts w:ascii="Times New Roman" w:hAnsi="Times New Roman" w:eastAsia="仿宋_GB2312"/>
          <w:sz w:val="32"/>
          <w:szCs w:val="32"/>
        </w:rPr>
        <w:t>）使用他人医疗保障凭证冒名就医、购药；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三</w:t>
      </w:r>
      <w:r>
        <w:rPr>
          <w:rFonts w:ascii="Times New Roman" w:hAnsi="Times New Roman" w:eastAsia="仿宋_GB2312"/>
          <w:sz w:val="32"/>
          <w:szCs w:val="32"/>
        </w:rPr>
        <w:t>）冒用基本医疗保险服务医师、药师名义申报医疗费用；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四</w:t>
      </w:r>
      <w:r>
        <w:rPr>
          <w:rFonts w:ascii="Times New Roman" w:hAnsi="Times New Roman" w:eastAsia="仿宋_GB2312"/>
          <w:sz w:val="32"/>
          <w:szCs w:val="32"/>
        </w:rPr>
        <w:t>）诱导、协助他人冒名就医、购药；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五</w:t>
      </w:r>
      <w:r>
        <w:rPr>
          <w:rFonts w:ascii="Times New Roman" w:hAnsi="Times New Roman" w:eastAsia="仿宋_GB2312"/>
          <w:sz w:val="32"/>
          <w:szCs w:val="32"/>
        </w:rPr>
        <w:t>）违法金额不满50万元；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六</w:t>
      </w:r>
      <w:r>
        <w:rPr>
          <w:rFonts w:ascii="Times New Roman" w:hAnsi="Times New Roman" w:eastAsia="仿宋_GB2312"/>
          <w:sz w:val="32"/>
          <w:szCs w:val="32"/>
        </w:rPr>
        <w:t>）骗取医疗保障基金支出的</w:t>
      </w:r>
      <w:r>
        <w:rPr>
          <w:rFonts w:hint="eastAsia" w:ascii="Times New Roman" w:hAnsi="Times New Roman" w:eastAsia="仿宋_GB2312"/>
          <w:sz w:val="32"/>
          <w:szCs w:val="32"/>
        </w:rPr>
        <w:t>其他一般</w:t>
      </w:r>
      <w:r>
        <w:rPr>
          <w:rFonts w:ascii="Times New Roman" w:hAnsi="Times New Roman" w:eastAsia="仿宋_GB2312"/>
          <w:sz w:val="32"/>
          <w:szCs w:val="32"/>
        </w:rPr>
        <w:t>违法行为。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定点医药机构或个人</w:t>
      </w:r>
      <w:r>
        <w:rPr>
          <w:rFonts w:hint="eastAsia" w:ascii="Times New Roman" w:hAnsi="Times New Roman" w:eastAsia="仿宋_GB2312"/>
          <w:sz w:val="32"/>
          <w:szCs w:val="32"/>
        </w:rPr>
        <w:t>以骗取医疗保障基金为目的，实施了《医疗保障基金使用监督管理条例》第三十八条、第四十一条第一款规定行为之一，造成医疗保障基金损失的，按照本条规定处理。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第十一条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定点医药机构或个人有下列情形之一，骗取医疗保障基金支出的，责令退回，处骗取金额4倍的罚款；属于定点医药机构的，责令定点医药机构暂停相关责任部门</w:t>
      </w:r>
      <w:r>
        <w:rPr>
          <w:rFonts w:hint="eastAsia" w:ascii="Times New Roman" w:hAnsi="Times New Roman" w:eastAsia="仿宋_GB2312"/>
          <w:sz w:val="32"/>
          <w:szCs w:val="32"/>
        </w:rPr>
        <w:t>9</w:t>
      </w:r>
      <w:r>
        <w:rPr>
          <w:rFonts w:ascii="Times New Roman" w:hAnsi="Times New Roman" w:eastAsia="仿宋_GB2312"/>
          <w:sz w:val="32"/>
          <w:szCs w:val="32"/>
        </w:rPr>
        <w:t>个月涉及医疗保障基金使用的医药服务：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（一）诱导、协助他人虚假就医、购药，提供虚假证明材料，或者串通他人虚开费用单据；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（二）违法行为被处理后，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年内再次发生同一类违法行为；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（三）违法金额在50万元以上不满300万元；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（四）骗取医疗保障基金支出的</w:t>
      </w:r>
      <w:r>
        <w:rPr>
          <w:rFonts w:hint="eastAsia" w:ascii="Times New Roman" w:hAnsi="Times New Roman" w:eastAsia="仿宋_GB2312"/>
          <w:sz w:val="32"/>
          <w:szCs w:val="32"/>
        </w:rPr>
        <w:t>其他较重</w:t>
      </w:r>
      <w:r>
        <w:rPr>
          <w:rFonts w:ascii="Times New Roman" w:hAnsi="Times New Roman" w:eastAsia="仿宋_GB2312"/>
          <w:sz w:val="32"/>
          <w:szCs w:val="32"/>
        </w:rPr>
        <w:t>违法行为。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第十二条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定点医药机构或个人有下列情形之一，骗取医疗保障基金支出的，责令退回，处骗取金额5倍的罚款；属于定点医药机构的，责令定点医药机构暂停相关责任部门12个月涉及医疗保障基金使用的医药服务：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sz w:val="32"/>
          <w:szCs w:val="32"/>
        </w:rPr>
        <w:t>伪造、隐匿、销毁医学文书、医学证明、会计凭证、电子信息等有关资料；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（二）虚构医药服务项目；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（三）敛存他人医疗保障有效凭证骗取医疗保障基金； 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四</w:t>
      </w:r>
      <w:r>
        <w:rPr>
          <w:rFonts w:ascii="Times New Roman" w:hAnsi="Times New Roman" w:eastAsia="仿宋_GB2312"/>
          <w:sz w:val="32"/>
          <w:szCs w:val="32"/>
        </w:rPr>
        <w:t>）违法行为被处理后，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年内再次发生同一类违法行为；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五</w:t>
      </w:r>
      <w:r>
        <w:rPr>
          <w:rFonts w:ascii="Times New Roman" w:hAnsi="Times New Roman" w:eastAsia="仿宋_GB2312"/>
          <w:sz w:val="32"/>
          <w:szCs w:val="32"/>
        </w:rPr>
        <w:t>）违法金额在300万元以上；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六</w:t>
      </w:r>
      <w:r>
        <w:rPr>
          <w:rFonts w:ascii="Times New Roman" w:hAnsi="Times New Roman" w:eastAsia="仿宋_GB2312"/>
          <w:sz w:val="32"/>
          <w:szCs w:val="32"/>
        </w:rPr>
        <w:t>）骗取医疗保障基金支出</w:t>
      </w:r>
      <w:r>
        <w:rPr>
          <w:rFonts w:hint="eastAsia" w:ascii="Times New Roman" w:hAnsi="Times New Roman" w:eastAsia="仿宋_GB2312"/>
          <w:sz w:val="32"/>
          <w:szCs w:val="32"/>
        </w:rPr>
        <w:t>的其他严重</w:t>
      </w:r>
      <w:r>
        <w:rPr>
          <w:rFonts w:ascii="Times New Roman" w:hAnsi="Times New Roman" w:eastAsia="仿宋_GB2312"/>
          <w:sz w:val="32"/>
          <w:szCs w:val="32"/>
        </w:rPr>
        <w:t>违法行为。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第十三条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有下列情形之一的，医疗保障行政部门不予处罚：</w:t>
      </w:r>
    </w:p>
    <w:p>
      <w:pPr>
        <w:snapToGrid w:val="0"/>
        <w:spacing w:line="57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（一）违法金额不满</w:t>
      </w:r>
      <w:r>
        <w:rPr>
          <w:rFonts w:eastAsia="仿宋_GB2312"/>
          <w:sz w:val="32"/>
          <w:szCs w:val="32"/>
          <w:highlight w:val="none"/>
        </w:rPr>
        <w:t>一万元</w:t>
      </w:r>
      <w:r>
        <w:rPr>
          <w:rFonts w:eastAsia="仿宋_GB2312"/>
          <w:sz w:val="32"/>
          <w:szCs w:val="32"/>
        </w:rPr>
        <w:t>，立案调查前，主动退回骗取的</w:t>
      </w:r>
      <w:r>
        <w:rPr>
          <w:rFonts w:hint="eastAsia" w:eastAsia="仿宋_GB2312"/>
          <w:sz w:val="32"/>
          <w:szCs w:val="32"/>
          <w:highlight w:val="none"/>
        </w:rPr>
        <w:t>全部</w:t>
      </w:r>
      <w:r>
        <w:rPr>
          <w:rFonts w:ascii="Times New Roman" w:hAnsi="Times New Roman" w:eastAsia="仿宋_GB2312"/>
          <w:sz w:val="32"/>
          <w:szCs w:val="32"/>
        </w:rPr>
        <w:t>医疗保障基金</w:t>
      </w:r>
      <w:r>
        <w:rPr>
          <w:rFonts w:eastAsia="仿宋_GB2312"/>
          <w:sz w:val="32"/>
          <w:szCs w:val="32"/>
        </w:rPr>
        <w:t>且未造成危害后果的；</w:t>
      </w:r>
    </w:p>
    <w:p>
      <w:pPr>
        <w:snapToGrid w:val="0"/>
        <w:spacing w:line="57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（二）违法金额不满</w:t>
      </w:r>
      <w:r>
        <w:rPr>
          <w:rFonts w:eastAsia="仿宋_GB2312"/>
          <w:sz w:val="32"/>
          <w:szCs w:val="32"/>
          <w:highlight w:val="none"/>
        </w:rPr>
        <w:t>五千元，立案调查后、行政处理决定作出前，主动退回骗取的</w:t>
      </w:r>
      <w:r>
        <w:rPr>
          <w:rFonts w:hint="eastAsia" w:eastAsia="仿宋_GB2312"/>
          <w:sz w:val="32"/>
          <w:szCs w:val="32"/>
          <w:highlight w:val="none"/>
        </w:rPr>
        <w:t>全部</w:t>
      </w:r>
      <w:r>
        <w:rPr>
          <w:rFonts w:ascii="Times New Roman" w:hAnsi="Times New Roman" w:eastAsia="仿宋_GB2312"/>
          <w:sz w:val="32"/>
          <w:szCs w:val="32"/>
        </w:rPr>
        <w:t>医疗保障基金</w:t>
      </w:r>
      <w:r>
        <w:rPr>
          <w:rFonts w:eastAsia="仿宋_GB2312"/>
          <w:sz w:val="32"/>
          <w:szCs w:val="32"/>
        </w:rPr>
        <w:t>且未造成危害后果的。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三</w:t>
      </w:r>
      <w:r>
        <w:rPr>
          <w:rFonts w:ascii="Times New Roman" w:hAnsi="Times New Roman" w:eastAsia="仿宋_GB2312"/>
          <w:sz w:val="32"/>
          <w:szCs w:val="32"/>
        </w:rPr>
        <w:t>）法律、法规、规章规定其他不予处罚的情形。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行政相对人的违法行为属于本办法第十</w:t>
      </w:r>
      <w:r>
        <w:rPr>
          <w:rFonts w:hint="eastAsia" w:ascii="Times New Roman" w:hAnsi="Times New Roman" w:eastAsia="仿宋_GB2312"/>
          <w:sz w:val="32"/>
          <w:szCs w:val="32"/>
        </w:rPr>
        <w:t>一</w:t>
      </w:r>
      <w:r>
        <w:rPr>
          <w:rFonts w:ascii="Times New Roman" w:hAnsi="Times New Roman" w:eastAsia="仿宋_GB2312"/>
          <w:sz w:val="32"/>
          <w:szCs w:val="32"/>
        </w:rPr>
        <w:t>条、第十</w:t>
      </w:r>
      <w:r>
        <w:rPr>
          <w:rFonts w:hint="eastAsia" w:ascii="Times New Roman" w:hAnsi="Times New Roman" w:eastAsia="仿宋_GB2312"/>
          <w:sz w:val="32"/>
          <w:szCs w:val="32"/>
        </w:rPr>
        <w:t>二</w:t>
      </w:r>
      <w:r>
        <w:rPr>
          <w:rFonts w:ascii="Times New Roman" w:hAnsi="Times New Roman" w:eastAsia="仿宋_GB2312"/>
          <w:sz w:val="32"/>
          <w:szCs w:val="32"/>
        </w:rPr>
        <w:t>条规定的，或者违法情节特别恶劣的，不适用本条不予处罚的规定。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第十</w:t>
      </w:r>
      <w:r>
        <w:rPr>
          <w:rFonts w:hint="eastAsia" w:ascii="Times New Roman" w:hAnsi="Times New Roman" w:eastAsia="黑体"/>
          <w:bCs/>
          <w:sz w:val="32"/>
          <w:szCs w:val="32"/>
        </w:rPr>
        <w:t>四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有下列情形之一的，医疗保障行政部门依法减轻处罚：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（一）已满14周岁不满18周岁的未成年人实施违法行为的；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（二）尚未完全丧失辨认或控制自己行为能力的精神病人、智力残疾人有违法行为的；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（三）主动消除或减轻违法行为危害后果，退回违法使用的医疗保障基金的；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（四）受他人胁迫或者诱骗实施违法行为的；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（五）主动供述行政机关尚未掌握的基金使用违法行为的关键线索或证据，并经查证属实的；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（六）配合行政机关查处违法行为有立功表现的；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（七）主动投案向行政机关如实交代违法行为的；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（八）初次违法且危害后果轻微并及时改正的；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（九）法律、法规、规章规定其他减轻处罚的情形。</w:t>
      </w:r>
    </w:p>
    <w:p>
      <w:pPr>
        <w:numPr>
          <w:ilvl w:val="255"/>
          <w:numId w:val="0"/>
        </w:num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第十五条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每符合本办法第十</w:t>
      </w:r>
      <w:r>
        <w:rPr>
          <w:rFonts w:hint="eastAsia" w:ascii="Times New Roman" w:hAnsi="Times New Roman" w:eastAsia="仿宋_GB2312"/>
          <w:sz w:val="32"/>
          <w:szCs w:val="32"/>
        </w:rPr>
        <w:t>四</w:t>
      </w:r>
      <w:r>
        <w:rPr>
          <w:rFonts w:ascii="Times New Roman" w:hAnsi="Times New Roman" w:eastAsia="仿宋_GB2312"/>
          <w:sz w:val="32"/>
          <w:szCs w:val="32"/>
        </w:rPr>
        <w:t>条规定的一</w:t>
      </w:r>
      <w:r>
        <w:rPr>
          <w:rFonts w:hint="eastAsia" w:ascii="Times New Roman" w:hAnsi="Times New Roman" w:eastAsia="仿宋_GB2312"/>
          <w:sz w:val="32"/>
          <w:szCs w:val="32"/>
        </w:rPr>
        <w:t>项</w:t>
      </w:r>
      <w:r>
        <w:rPr>
          <w:rFonts w:ascii="Times New Roman" w:hAnsi="Times New Roman" w:eastAsia="仿宋_GB2312"/>
          <w:sz w:val="32"/>
          <w:szCs w:val="32"/>
        </w:rPr>
        <w:t>情形，减少1倍</w:t>
      </w:r>
      <w:r>
        <w:rPr>
          <w:rFonts w:hint="eastAsia" w:ascii="Times New Roman" w:hAnsi="Times New Roman" w:eastAsia="仿宋_GB2312"/>
          <w:sz w:val="32"/>
          <w:szCs w:val="32"/>
        </w:rPr>
        <w:t>的罚款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/>
          <w:sz w:val="32"/>
          <w:szCs w:val="32"/>
        </w:rPr>
        <w:t>属于参保人员的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减少1个月的暂停联网结算；属于定点医药机构的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减少3个月的暂停</w:t>
      </w:r>
      <w:r>
        <w:rPr>
          <w:rFonts w:ascii="Times New Roman" w:hAnsi="Times New Roman" w:eastAsia="仿宋_GB2312"/>
          <w:sz w:val="32"/>
          <w:szCs w:val="32"/>
        </w:rPr>
        <w:t>涉及医疗保障基金使用的医药服务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255"/>
          <w:numId w:val="0"/>
        </w:num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符合多项减轻处罚情形的，</w:t>
      </w:r>
      <w:r>
        <w:rPr>
          <w:rFonts w:ascii="Times New Roman" w:hAnsi="Times New Roman" w:eastAsia="仿宋_GB2312"/>
          <w:sz w:val="32"/>
          <w:szCs w:val="32"/>
        </w:rPr>
        <w:t>可以累计减罚，但处罚金额不得低于违法金额的30%</w:t>
      </w:r>
      <w:r>
        <w:rPr>
          <w:rFonts w:hint="eastAsia" w:ascii="Times New Roman" w:hAnsi="Times New Roman" w:eastAsia="仿宋_GB2312"/>
          <w:sz w:val="32"/>
          <w:szCs w:val="32"/>
        </w:rPr>
        <w:t>，暂停联网结算不得低于1个月，暂停</w:t>
      </w:r>
      <w:r>
        <w:rPr>
          <w:rFonts w:ascii="Times New Roman" w:hAnsi="Times New Roman" w:eastAsia="仿宋_GB2312"/>
          <w:sz w:val="32"/>
          <w:szCs w:val="32"/>
        </w:rPr>
        <w:t>涉及医疗保障基金使用的医药服务</w:t>
      </w:r>
      <w:r>
        <w:rPr>
          <w:rFonts w:hint="eastAsia" w:ascii="Times New Roman" w:hAnsi="Times New Roman" w:eastAsia="仿宋_GB2312"/>
          <w:sz w:val="32"/>
          <w:szCs w:val="32"/>
        </w:rPr>
        <w:t>不得低于3个月。</w:t>
      </w:r>
    </w:p>
    <w:p>
      <w:pPr>
        <w:snapToGrid w:val="0"/>
        <w:spacing w:line="578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 xml:space="preserve">第十六条 </w:t>
      </w:r>
      <w:r>
        <w:rPr>
          <w:rFonts w:hint="eastAsia" w:ascii="Times New Roman" w:hAnsi="Times New Roman" w:eastAsia="仿宋_GB2312"/>
          <w:sz w:val="32"/>
          <w:szCs w:val="32"/>
        </w:rPr>
        <w:t>有下列情形之一，且不具有减轻情形的，医疗保</w:t>
      </w:r>
    </w:p>
    <w:p>
      <w:pPr>
        <w:snapToGrid w:val="0"/>
        <w:spacing w:line="578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障行政部门按最高档次实施处罚：</w:t>
      </w:r>
    </w:p>
    <w:p>
      <w:pPr>
        <w:numPr>
          <w:ilvl w:val="255"/>
          <w:numId w:val="0"/>
        </w:num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（一）违法情节恶劣，造成严重危害后果的；</w:t>
      </w:r>
    </w:p>
    <w:p>
      <w:pPr>
        <w:numPr>
          <w:ilvl w:val="255"/>
          <w:numId w:val="0"/>
        </w:numPr>
        <w:snapToGrid w:val="0"/>
        <w:spacing w:line="578" w:lineRule="exact"/>
        <w:ind w:left="16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（二）责令改正拒不改正，或者一年内实施两次以上同一性质违法行为的；</w:t>
      </w:r>
    </w:p>
    <w:p>
      <w:pPr>
        <w:numPr>
          <w:ilvl w:val="255"/>
          <w:numId w:val="0"/>
        </w:numPr>
        <w:snapToGrid w:val="0"/>
        <w:spacing w:line="578" w:lineRule="exact"/>
        <w:ind w:left="16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（三）妨碍、阻挠或者抗拒执法人员依法调查、处理其违法行为的；</w:t>
      </w:r>
    </w:p>
    <w:p>
      <w:pPr>
        <w:numPr>
          <w:ilvl w:val="255"/>
          <w:numId w:val="0"/>
        </w:numPr>
        <w:snapToGrid w:val="0"/>
        <w:spacing w:line="578" w:lineRule="exact"/>
        <w:ind w:left="16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（四）故意转移、隐匿、毁坏或伪造证据，或者对举报投诉人、证人打击报复的；</w:t>
      </w:r>
    </w:p>
    <w:p>
      <w:pPr>
        <w:numPr>
          <w:ilvl w:val="255"/>
          <w:numId w:val="0"/>
        </w:numPr>
        <w:snapToGrid w:val="0"/>
        <w:spacing w:line="578" w:lineRule="exact"/>
        <w:ind w:left="16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（五）法律、法规、规章规定应当按最高档次实施处罚的其他情形。</w:t>
      </w:r>
    </w:p>
    <w:p>
      <w:pPr>
        <w:numPr>
          <w:ilvl w:val="255"/>
          <w:numId w:val="0"/>
        </w:numPr>
        <w:snapToGrid w:val="0"/>
        <w:spacing w:line="578" w:lineRule="exact"/>
        <w:ind w:left="16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同时具有本条第一款所列情形和减轻情形的，应根据违法行为的性质和主要情节确定对应的处罚幅度，综合考虑后实施处罚。</w:t>
      </w:r>
    </w:p>
    <w:p>
      <w:pPr>
        <w:snapToGrid w:val="0"/>
        <w:spacing w:line="578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 xml:space="preserve">第十七条 </w:t>
      </w:r>
      <w:r>
        <w:rPr>
          <w:rFonts w:hint="eastAsia" w:ascii="Times New Roman" w:hAnsi="Times New Roman" w:eastAsia="仿宋_GB2312"/>
          <w:sz w:val="32"/>
          <w:szCs w:val="32"/>
        </w:rPr>
        <w:t>当事人</w:t>
      </w:r>
      <w:r>
        <w:rPr>
          <w:rFonts w:ascii="Times New Roman" w:hAnsi="Times New Roman" w:eastAsia="仿宋_GB2312"/>
          <w:sz w:val="32"/>
          <w:szCs w:val="32"/>
        </w:rPr>
        <w:t>多个行为违反多条规定的，应当分别确定</w:t>
      </w:r>
    </w:p>
    <w:p>
      <w:pPr>
        <w:snapToGrid w:val="0"/>
        <w:spacing w:line="578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适用的裁量基准。同一个违法行为同时属于本办法第八条至第十</w:t>
      </w:r>
      <w:r>
        <w:rPr>
          <w:rFonts w:hint="eastAsia" w:ascii="Times New Roman" w:hAnsi="Times New Roman" w:eastAsia="仿宋_GB2312"/>
          <w:sz w:val="32"/>
          <w:szCs w:val="32"/>
        </w:rPr>
        <w:t>二</w:t>
      </w:r>
      <w:r>
        <w:rPr>
          <w:rFonts w:ascii="Times New Roman" w:hAnsi="Times New Roman" w:eastAsia="仿宋_GB2312"/>
          <w:sz w:val="32"/>
          <w:szCs w:val="32"/>
        </w:rPr>
        <w:t>条规定情形两项以上的，适用较重的裁量基准。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第十</w:t>
      </w:r>
      <w:r>
        <w:rPr>
          <w:rFonts w:hint="eastAsia" w:ascii="Times New Roman" w:hAnsi="Times New Roman" w:eastAsia="黑体"/>
          <w:bCs/>
          <w:sz w:val="32"/>
          <w:szCs w:val="32"/>
        </w:rPr>
        <w:t>八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违法行为在二年内未被发现的，不再给予行政处罚；涉及公民生命健康安全、金融安全且有危害后果的，上述期限延长至五年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但应当追回医疗保障基金。法律另有规定的除外。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前款规定的期限，自违反医疗保障法律、法规、规章的行为发生之日起计算；违反医疗保障法律、法规、规章的行为有连续或者继续状态的，自行为终了之日起计算。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第十九条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医疗保障行政部门依法对违反生育保险法律、法规、规章的行为实施行政处罚，适用本办法。</w:t>
      </w:r>
    </w:p>
    <w:p>
      <w:pPr>
        <w:snapToGrid w:val="0"/>
        <w:spacing w:line="578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</w:rPr>
        <w:t>二十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本办法中的“以上”包括本数。</w:t>
      </w:r>
    </w:p>
    <w:p>
      <w:pPr>
        <w:spacing w:line="578" w:lineRule="exact"/>
        <w:ind w:firstLine="640" w:firstLineChars="200"/>
        <w:rPr>
          <w:rFonts w:eastAsia="仿宋_GB2312"/>
          <w:sz w:val="28"/>
          <w:szCs w:val="28"/>
          <w:highlight w:val="none"/>
        </w:rPr>
      </w:pPr>
      <w:r>
        <w:rPr>
          <w:rFonts w:ascii="Times New Roman" w:hAnsi="Times New Roman" w:eastAsia="黑体"/>
          <w:bCs/>
          <w:sz w:val="32"/>
          <w:szCs w:val="32"/>
        </w:rPr>
        <w:t>第二十</w:t>
      </w:r>
      <w:r>
        <w:rPr>
          <w:rFonts w:hint="eastAsia" w:ascii="Times New Roman" w:hAnsi="Times New Roman" w:eastAsia="黑体"/>
          <w:bCs/>
          <w:sz w:val="32"/>
          <w:szCs w:val="32"/>
        </w:rPr>
        <w:t>一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本办法自印发之日起施行，有效期5年。《天津市基本医疗保险行政处罚裁量权实施办法》（津医保规字〔2020〕2号）同步废止。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违法行为始于本办法施行前的，行政处罚裁量按照原办法执行，但适用本办法行政处罚较轻的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不予处罚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的情形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，按照本办法执行。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atLeast"/>
        <w:textAlignment w:val="auto"/>
        <w:rPr>
          <w:rFonts w:eastAsia="仿宋_GB2312"/>
          <w:kern w:val="0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atLeast"/>
        <w:textAlignment w:val="auto"/>
        <w:rPr>
          <w:rFonts w:eastAsia="仿宋_GB2312"/>
          <w:kern w:val="0"/>
          <w:sz w:val="36"/>
          <w:szCs w:val="36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atLeast"/>
        <w:textAlignment w:val="auto"/>
        <w:rPr>
          <w:rFonts w:eastAsia="仿宋_GB2312"/>
          <w:kern w:val="0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atLeast"/>
        <w:textAlignment w:val="auto"/>
        <w:rPr>
          <w:rFonts w:eastAsia="仿宋_GB2312"/>
          <w:kern w:val="0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atLeast"/>
        <w:textAlignment w:val="auto"/>
        <w:rPr>
          <w:rFonts w:eastAsia="仿宋_GB2312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atLeast"/>
        <w:ind w:left="210" w:leftChars="100" w:right="210" w:rightChars="100"/>
        <w:textAlignment w:val="auto"/>
        <w:rPr>
          <w:rFonts w:eastAsia="仿宋_GB2312"/>
          <w:sz w:val="28"/>
          <w:szCs w:val="28"/>
        </w:rPr>
      </w:pPr>
      <w:r>
        <w:pict>
          <v:line id="Line 4" o:spid="_x0000_s1068" o:spt="20" style="position:absolute;left:0pt;margin-left:-0.05pt;margin-top:0pt;height:0pt;width:441.05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X5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">
            <v:path arrowok="t"/>
            <v:fill focussize="0,0"/>
            <v:stroke weight="1.5pt"/>
            <v:imagedata o:title=""/>
            <o:lock v:ext="edit"/>
          </v:line>
        </w:pict>
      </w:r>
      <w:r>
        <w:pict>
          <v:line id="Line 5" o:spid="_x0000_s1069" o:spt="20" style="position:absolute;left:0pt;margin-left:0pt;margin-top:30.5pt;height:0pt;width:441.05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ld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">
            <v:path arrowok="t"/>
            <v:fill focussize="0,0"/>
            <v:stroke weight="1.5pt"/>
            <v:imagedata o:title=""/>
            <o:lock v:ext="edit"/>
          </v:line>
        </w:pict>
      </w:r>
      <w:r>
        <w:pict>
          <v:line id="Line 6" o:spid="_x0000_s1070" o:spt="20" style="position:absolute;left:0pt;margin-left:0pt;margin-top:0pt;height:0pt;width:441.05pt;z-index:251662336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07n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PnemNKyCgUjsbaqNn9WKeNf3ukNJVS9SBR4avFwNpWchI3qSEjTOAv+8/awYx5Oh1bNO5&#10;sV2AhAagc1TjcleDnz2icDibp9l0OsOI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eastAsia="仿宋_GB2312"/>
          <w:sz w:val="28"/>
          <w:szCs w:val="28"/>
        </w:rPr>
        <w:t xml:space="preserve">天津市医疗保障局办公室                 </w:t>
      </w:r>
      <w:r>
        <w:rPr>
          <w:rFonts w:eastAsia="仿宋_GB2312"/>
          <w:sz w:val="28"/>
          <w:szCs w:val="28"/>
        </w:rPr>
        <w:t>2021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default" w:eastAsia="仿宋_GB2312"/>
          <w:sz w:val="28"/>
          <w:szCs w:val="28"/>
        </w:rPr>
        <w:t>10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default" w:eastAsia="仿宋_GB2312"/>
          <w:sz w:val="28"/>
          <w:szCs w:val="28"/>
        </w:rPr>
        <w:t>2</w:t>
      </w:r>
      <w:r>
        <w:rPr>
          <w:rFonts w:hint="default" w:eastAsia="仿宋_GB2312"/>
          <w:sz w:val="28"/>
          <w:szCs w:val="28"/>
        </w:rPr>
        <w:t>7</w:t>
      </w:r>
      <w:r>
        <w:rPr>
          <w:rFonts w:hint="eastAsia" w:eastAsia="仿宋_GB2312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2098" w:right="1474" w:bottom="1985" w:left="1588" w:header="851" w:footer="1134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Ubuntu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文星简小标宋">
    <w:altName w:val="方正小标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2052" o:spid="_x0000_s2052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3"/>
                  <w:wordWrap w:val="0"/>
                  <w:jc w:val="right"/>
                </w:pP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17 -</w: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280" w:firstLineChars="100"/>
      <w:jc w:val="both"/>
      <w:rPr>
        <w:rFonts w:ascii="宋体" w:hAnsi="宋体"/>
        <w:sz w:val="28"/>
        <w:szCs w:val="28"/>
      </w:rPr>
    </w:pPr>
    <w:r>
      <w:rPr>
        <w:sz w:val="28"/>
      </w:rPr>
      <w:pict>
        <v:shape id="_x0000_s2053" o:spid="_x0000_s2053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3"/>
                  <w:ind w:firstLine="280" w:firstLineChars="100"/>
                  <w:jc w:val="both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18 -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F0BDC"/>
    <w:rsid w:val="000065D5"/>
    <w:rsid w:val="000109FD"/>
    <w:rsid w:val="00013EC0"/>
    <w:rsid w:val="000147B3"/>
    <w:rsid w:val="00020120"/>
    <w:rsid w:val="00022EF9"/>
    <w:rsid w:val="0003315A"/>
    <w:rsid w:val="00033407"/>
    <w:rsid w:val="00037BE7"/>
    <w:rsid w:val="00037DE4"/>
    <w:rsid w:val="00044741"/>
    <w:rsid w:val="000541E6"/>
    <w:rsid w:val="00055249"/>
    <w:rsid w:val="00061396"/>
    <w:rsid w:val="00065E5F"/>
    <w:rsid w:val="00081292"/>
    <w:rsid w:val="000827C6"/>
    <w:rsid w:val="00095A94"/>
    <w:rsid w:val="00096F5D"/>
    <w:rsid w:val="00097054"/>
    <w:rsid w:val="000972C7"/>
    <w:rsid w:val="000A1DA6"/>
    <w:rsid w:val="000A44BF"/>
    <w:rsid w:val="000A767D"/>
    <w:rsid w:val="000B592A"/>
    <w:rsid w:val="000C1461"/>
    <w:rsid w:val="000D57CF"/>
    <w:rsid w:val="000E0244"/>
    <w:rsid w:val="000E074B"/>
    <w:rsid w:val="000F65DD"/>
    <w:rsid w:val="00104FAD"/>
    <w:rsid w:val="00105D60"/>
    <w:rsid w:val="001077DB"/>
    <w:rsid w:val="00110E41"/>
    <w:rsid w:val="00112E8B"/>
    <w:rsid w:val="00120125"/>
    <w:rsid w:val="0012031D"/>
    <w:rsid w:val="00130551"/>
    <w:rsid w:val="00147DA7"/>
    <w:rsid w:val="00151992"/>
    <w:rsid w:val="00154487"/>
    <w:rsid w:val="00155EBD"/>
    <w:rsid w:val="00161D9D"/>
    <w:rsid w:val="00162B87"/>
    <w:rsid w:val="00163B67"/>
    <w:rsid w:val="00172C8C"/>
    <w:rsid w:val="00173403"/>
    <w:rsid w:val="00176F71"/>
    <w:rsid w:val="001775A3"/>
    <w:rsid w:val="00192404"/>
    <w:rsid w:val="001948DE"/>
    <w:rsid w:val="0019737A"/>
    <w:rsid w:val="001A5DF5"/>
    <w:rsid w:val="001B694C"/>
    <w:rsid w:val="001C2624"/>
    <w:rsid w:val="001C792E"/>
    <w:rsid w:val="001D4FEC"/>
    <w:rsid w:val="001D75E1"/>
    <w:rsid w:val="001E12DB"/>
    <w:rsid w:val="001E29A2"/>
    <w:rsid w:val="001E58CF"/>
    <w:rsid w:val="001E59DF"/>
    <w:rsid w:val="001F1A53"/>
    <w:rsid w:val="001F422C"/>
    <w:rsid w:val="001F4881"/>
    <w:rsid w:val="001F49BF"/>
    <w:rsid w:val="00200784"/>
    <w:rsid w:val="0020464D"/>
    <w:rsid w:val="00206CDE"/>
    <w:rsid w:val="0020717F"/>
    <w:rsid w:val="0021088A"/>
    <w:rsid w:val="00215B50"/>
    <w:rsid w:val="00216817"/>
    <w:rsid w:val="00222E8A"/>
    <w:rsid w:val="00230A9E"/>
    <w:rsid w:val="00232B8F"/>
    <w:rsid w:val="00232E4B"/>
    <w:rsid w:val="00233E93"/>
    <w:rsid w:val="002426DD"/>
    <w:rsid w:val="00244736"/>
    <w:rsid w:val="00253B18"/>
    <w:rsid w:val="002542A3"/>
    <w:rsid w:val="00254310"/>
    <w:rsid w:val="002544B7"/>
    <w:rsid w:val="00255C1F"/>
    <w:rsid w:val="00267648"/>
    <w:rsid w:val="00281BAA"/>
    <w:rsid w:val="00282B6D"/>
    <w:rsid w:val="00292835"/>
    <w:rsid w:val="002977A8"/>
    <w:rsid w:val="002B1D79"/>
    <w:rsid w:val="002B6179"/>
    <w:rsid w:val="002D0535"/>
    <w:rsid w:val="002D684C"/>
    <w:rsid w:val="002D6F2F"/>
    <w:rsid w:val="002E1670"/>
    <w:rsid w:val="002E3A88"/>
    <w:rsid w:val="002E4D91"/>
    <w:rsid w:val="002E7B3A"/>
    <w:rsid w:val="002F3E50"/>
    <w:rsid w:val="002F4A77"/>
    <w:rsid w:val="002F7B0F"/>
    <w:rsid w:val="00300FF8"/>
    <w:rsid w:val="00301010"/>
    <w:rsid w:val="00303A58"/>
    <w:rsid w:val="003064BA"/>
    <w:rsid w:val="003265FB"/>
    <w:rsid w:val="003319B2"/>
    <w:rsid w:val="00337EF7"/>
    <w:rsid w:val="00342916"/>
    <w:rsid w:val="003429BA"/>
    <w:rsid w:val="00347C7A"/>
    <w:rsid w:val="00352B64"/>
    <w:rsid w:val="003543BD"/>
    <w:rsid w:val="00357A2E"/>
    <w:rsid w:val="003816E2"/>
    <w:rsid w:val="003921E6"/>
    <w:rsid w:val="00396AC5"/>
    <w:rsid w:val="003A283E"/>
    <w:rsid w:val="003B76BA"/>
    <w:rsid w:val="003C6B4A"/>
    <w:rsid w:val="003D0F58"/>
    <w:rsid w:val="003D2B30"/>
    <w:rsid w:val="003D4EDF"/>
    <w:rsid w:val="003D7B1D"/>
    <w:rsid w:val="003E0DFB"/>
    <w:rsid w:val="003F043D"/>
    <w:rsid w:val="003F0BDC"/>
    <w:rsid w:val="003F3A65"/>
    <w:rsid w:val="003F4838"/>
    <w:rsid w:val="00401456"/>
    <w:rsid w:val="004055FE"/>
    <w:rsid w:val="00406176"/>
    <w:rsid w:val="00406647"/>
    <w:rsid w:val="00407CAC"/>
    <w:rsid w:val="00414272"/>
    <w:rsid w:val="00422ACC"/>
    <w:rsid w:val="00437D7D"/>
    <w:rsid w:val="004414B9"/>
    <w:rsid w:val="00442396"/>
    <w:rsid w:val="00444779"/>
    <w:rsid w:val="00444F14"/>
    <w:rsid w:val="004549B0"/>
    <w:rsid w:val="004604A3"/>
    <w:rsid w:val="004619C8"/>
    <w:rsid w:val="0046390A"/>
    <w:rsid w:val="0046545F"/>
    <w:rsid w:val="0046662E"/>
    <w:rsid w:val="00470271"/>
    <w:rsid w:val="0047312A"/>
    <w:rsid w:val="00483BF1"/>
    <w:rsid w:val="00487737"/>
    <w:rsid w:val="004A370E"/>
    <w:rsid w:val="004C4E58"/>
    <w:rsid w:val="004C757C"/>
    <w:rsid w:val="004D0DF8"/>
    <w:rsid w:val="004D0DFB"/>
    <w:rsid w:val="004D1EE3"/>
    <w:rsid w:val="004E7AF1"/>
    <w:rsid w:val="004F12D7"/>
    <w:rsid w:val="004F5DB9"/>
    <w:rsid w:val="004F7E52"/>
    <w:rsid w:val="00501971"/>
    <w:rsid w:val="00507543"/>
    <w:rsid w:val="00507626"/>
    <w:rsid w:val="005173F1"/>
    <w:rsid w:val="00522C9C"/>
    <w:rsid w:val="00526D8A"/>
    <w:rsid w:val="00530BB4"/>
    <w:rsid w:val="00542C72"/>
    <w:rsid w:val="00542E6D"/>
    <w:rsid w:val="00543B64"/>
    <w:rsid w:val="00545586"/>
    <w:rsid w:val="0055311E"/>
    <w:rsid w:val="00554D9A"/>
    <w:rsid w:val="00561774"/>
    <w:rsid w:val="00562953"/>
    <w:rsid w:val="00563133"/>
    <w:rsid w:val="00571F1B"/>
    <w:rsid w:val="00574561"/>
    <w:rsid w:val="00577AE8"/>
    <w:rsid w:val="00590914"/>
    <w:rsid w:val="0059190B"/>
    <w:rsid w:val="00595B50"/>
    <w:rsid w:val="00595DA2"/>
    <w:rsid w:val="00596053"/>
    <w:rsid w:val="00596EB8"/>
    <w:rsid w:val="005A0ED5"/>
    <w:rsid w:val="005A3B71"/>
    <w:rsid w:val="005B10B5"/>
    <w:rsid w:val="005B3A84"/>
    <w:rsid w:val="005B419F"/>
    <w:rsid w:val="005B425E"/>
    <w:rsid w:val="005B4FD4"/>
    <w:rsid w:val="005C26BD"/>
    <w:rsid w:val="005C31A4"/>
    <w:rsid w:val="005C7ABF"/>
    <w:rsid w:val="005E3B85"/>
    <w:rsid w:val="005E65A1"/>
    <w:rsid w:val="005E6D84"/>
    <w:rsid w:val="005F31A7"/>
    <w:rsid w:val="005F326A"/>
    <w:rsid w:val="005F32B8"/>
    <w:rsid w:val="005F43AB"/>
    <w:rsid w:val="005F5440"/>
    <w:rsid w:val="00603685"/>
    <w:rsid w:val="006039B9"/>
    <w:rsid w:val="00605E32"/>
    <w:rsid w:val="00610A2B"/>
    <w:rsid w:val="0061772C"/>
    <w:rsid w:val="00621098"/>
    <w:rsid w:val="00625753"/>
    <w:rsid w:val="006263A4"/>
    <w:rsid w:val="0063133A"/>
    <w:rsid w:val="006348D0"/>
    <w:rsid w:val="006373C4"/>
    <w:rsid w:val="00637666"/>
    <w:rsid w:val="006434C9"/>
    <w:rsid w:val="00646734"/>
    <w:rsid w:val="00653E0B"/>
    <w:rsid w:val="00655C0D"/>
    <w:rsid w:val="0066402E"/>
    <w:rsid w:val="006666D8"/>
    <w:rsid w:val="00673839"/>
    <w:rsid w:val="00673C8C"/>
    <w:rsid w:val="00682460"/>
    <w:rsid w:val="006858B6"/>
    <w:rsid w:val="00690D0C"/>
    <w:rsid w:val="00693AFA"/>
    <w:rsid w:val="006A4053"/>
    <w:rsid w:val="006B026C"/>
    <w:rsid w:val="006B76C0"/>
    <w:rsid w:val="006C204A"/>
    <w:rsid w:val="006C3C95"/>
    <w:rsid w:val="006D00B7"/>
    <w:rsid w:val="006D56DE"/>
    <w:rsid w:val="006D59C8"/>
    <w:rsid w:val="006D6097"/>
    <w:rsid w:val="006E7255"/>
    <w:rsid w:val="006F19F0"/>
    <w:rsid w:val="00707185"/>
    <w:rsid w:val="007075DF"/>
    <w:rsid w:val="00714789"/>
    <w:rsid w:val="00715DC4"/>
    <w:rsid w:val="00715F8B"/>
    <w:rsid w:val="00721629"/>
    <w:rsid w:val="00723E16"/>
    <w:rsid w:val="00730B17"/>
    <w:rsid w:val="007346EE"/>
    <w:rsid w:val="007365D6"/>
    <w:rsid w:val="00737813"/>
    <w:rsid w:val="00742077"/>
    <w:rsid w:val="0074466C"/>
    <w:rsid w:val="007527C9"/>
    <w:rsid w:val="0075447A"/>
    <w:rsid w:val="00764746"/>
    <w:rsid w:val="00765D43"/>
    <w:rsid w:val="007665F3"/>
    <w:rsid w:val="0077444E"/>
    <w:rsid w:val="0077633B"/>
    <w:rsid w:val="007B02A8"/>
    <w:rsid w:val="007B16C7"/>
    <w:rsid w:val="007C08B7"/>
    <w:rsid w:val="007C5003"/>
    <w:rsid w:val="007D1326"/>
    <w:rsid w:val="007D2DC5"/>
    <w:rsid w:val="007D7528"/>
    <w:rsid w:val="007E0CA2"/>
    <w:rsid w:val="007E43C4"/>
    <w:rsid w:val="007F4566"/>
    <w:rsid w:val="007F4F06"/>
    <w:rsid w:val="00801092"/>
    <w:rsid w:val="00805E44"/>
    <w:rsid w:val="0081160D"/>
    <w:rsid w:val="0081242A"/>
    <w:rsid w:val="008161AE"/>
    <w:rsid w:val="008209A3"/>
    <w:rsid w:val="00833E60"/>
    <w:rsid w:val="00834B62"/>
    <w:rsid w:val="00841504"/>
    <w:rsid w:val="00847CC4"/>
    <w:rsid w:val="00852C8E"/>
    <w:rsid w:val="00864DF6"/>
    <w:rsid w:val="00874985"/>
    <w:rsid w:val="00876F88"/>
    <w:rsid w:val="00881AC8"/>
    <w:rsid w:val="008823C9"/>
    <w:rsid w:val="0089147C"/>
    <w:rsid w:val="00892E04"/>
    <w:rsid w:val="00896547"/>
    <w:rsid w:val="008A08BA"/>
    <w:rsid w:val="008A37CB"/>
    <w:rsid w:val="008A438E"/>
    <w:rsid w:val="008B002A"/>
    <w:rsid w:val="008B422F"/>
    <w:rsid w:val="008B5B77"/>
    <w:rsid w:val="008D78C8"/>
    <w:rsid w:val="008E1795"/>
    <w:rsid w:val="008E7C96"/>
    <w:rsid w:val="008F117F"/>
    <w:rsid w:val="008F55B6"/>
    <w:rsid w:val="008F7718"/>
    <w:rsid w:val="00902110"/>
    <w:rsid w:val="009132A4"/>
    <w:rsid w:val="00914D96"/>
    <w:rsid w:val="00915016"/>
    <w:rsid w:val="009156C8"/>
    <w:rsid w:val="00926F38"/>
    <w:rsid w:val="00927BEC"/>
    <w:rsid w:val="00932F8A"/>
    <w:rsid w:val="009518BD"/>
    <w:rsid w:val="00957982"/>
    <w:rsid w:val="00962D13"/>
    <w:rsid w:val="00972B6E"/>
    <w:rsid w:val="0097722A"/>
    <w:rsid w:val="0099140F"/>
    <w:rsid w:val="00997158"/>
    <w:rsid w:val="009A0B4F"/>
    <w:rsid w:val="009A720A"/>
    <w:rsid w:val="009C1B7F"/>
    <w:rsid w:val="009C5E57"/>
    <w:rsid w:val="009D3AF0"/>
    <w:rsid w:val="009D3C84"/>
    <w:rsid w:val="009F1C6A"/>
    <w:rsid w:val="009F6E83"/>
    <w:rsid w:val="00A06DF6"/>
    <w:rsid w:val="00A1044A"/>
    <w:rsid w:val="00A108C5"/>
    <w:rsid w:val="00A124B3"/>
    <w:rsid w:val="00A1479D"/>
    <w:rsid w:val="00A16461"/>
    <w:rsid w:val="00A21972"/>
    <w:rsid w:val="00A2220F"/>
    <w:rsid w:val="00A24DD5"/>
    <w:rsid w:val="00A35518"/>
    <w:rsid w:val="00A50791"/>
    <w:rsid w:val="00A51A64"/>
    <w:rsid w:val="00A534FA"/>
    <w:rsid w:val="00A56AD3"/>
    <w:rsid w:val="00A6357A"/>
    <w:rsid w:val="00A6648E"/>
    <w:rsid w:val="00A73265"/>
    <w:rsid w:val="00A73589"/>
    <w:rsid w:val="00A765AB"/>
    <w:rsid w:val="00A76EA1"/>
    <w:rsid w:val="00A85747"/>
    <w:rsid w:val="00A87CE4"/>
    <w:rsid w:val="00AA662F"/>
    <w:rsid w:val="00AA72C8"/>
    <w:rsid w:val="00AB30A8"/>
    <w:rsid w:val="00AB4A59"/>
    <w:rsid w:val="00AB5C24"/>
    <w:rsid w:val="00AC17E5"/>
    <w:rsid w:val="00AC36C9"/>
    <w:rsid w:val="00AE0C2F"/>
    <w:rsid w:val="00AE6777"/>
    <w:rsid w:val="00AF35E9"/>
    <w:rsid w:val="00B03871"/>
    <w:rsid w:val="00B11F04"/>
    <w:rsid w:val="00B22DA3"/>
    <w:rsid w:val="00B23504"/>
    <w:rsid w:val="00B259A9"/>
    <w:rsid w:val="00B261E6"/>
    <w:rsid w:val="00B338E5"/>
    <w:rsid w:val="00B33FAC"/>
    <w:rsid w:val="00B4134C"/>
    <w:rsid w:val="00B552B7"/>
    <w:rsid w:val="00B55D13"/>
    <w:rsid w:val="00B62A50"/>
    <w:rsid w:val="00B6474E"/>
    <w:rsid w:val="00B64D28"/>
    <w:rsid w:val="00B65CC9"/>
    <w:rsid w:val="00B70643"/>
    <w:rsid w:val="00B7313E"/>
    <w:rsid w:val="00B753D4"/>
    <w:rsid w:val="00BA5914"/>
    <w:rsid w:val="00BB043C"/>
    <w:rsid w:val="00BB3FA3"/>
    <w:rsid w:val="00BB700D"/>
    <w:rsid w:val="00BB737E"/>
    <w:rsid w:val="00BC26D1"/>
    <w:rsid w:val="00BC2F32"/>
    <w:rsid w:val="00BC3D6D"/>
    <w:rsid w:val="00BD477F"/>
    <w:rsid w:val="00BD4A05"/>
    <w:rsid w:val="00BD78A2"/>
    <w:rsid w:val="00BE0092"/>
    <w:rsid w:val="00BE03A3"/>
    <w:rsid w:val="00BE5D2F"/>
    <w:rsid w:val="00BF0D58"/>
    <w:rsid w:val="00C13435"/>
    <w:rsid w:val="00C2256C"/>
    <w:rsid w:val="00C22841"/>
    <w:rsid w:val="00C263D7"/>
    <w:rsid w:val="00C26B8E"/>
    <w:rsid w:val="00C27ECC"/>
    <w:rsid w:val="00C304AB"/>
    <w:rsid w:val="00C34D9C"/>
    <w:rsid w:val="00C43F51"/>
    <w:rsid w:val="00C456CA"/>
    <w:rsid w:val="00C50048"/>
    <w:rsid w:val="00C53A66"/>
    <w:rsid w:val="00C5764D"/>
    <w:rsid w:val="00C57BFF"/>
    <w:rsid w:val="00C6720E"/>
    <w:rsid w:val="00C73E96"/>
    <w:rsid w:val="00C75B0D"/>
    <w:rsid w:val="00C763AB"/>
    <w:rsid w:val="00C80188"/>
    <w:rsid w:val="00C8588A"/>
    <w:rsid w:val="00C866F4"/>
    <w:rsid w:val="00C86B3D"/>
    <w:rsid w:val="00CB586A"/>
    <w:rsid w:val="00CB5890"/>
    <w:rsid w:val="00CC0423"/>
    <w:rsid w:val="00CC0B9B"/>
    <w:rsid w:val="00CC167B"/>
    <w:rsid w:val="00CC1EC8"/>
    <w:rsid w:val="00CC4BF5"/>
    <w:rsid w:val="00CD3EBC"/>
    <w:rsid w:val="00CE22B8"/>
    <w:rsid w:val="00CF026E"/>
    <w:rsid w:val="00D07DA5"/>
    <w:rsid w:val="00D11A0D"/>
    <w:rsid w:val="00D144BB"/>
    <w:rsid w:val="00D15495"/>
    <w:rsid w:val="00D16DEA"/>
    <w:rsid w:val="00D17AB7"/>
    <w:rsid w:val="00D203D1"/>
    <w:rsid w:val="00D22FC1"/>
    <w:rsid w:val="00D34836"/>
    <w:rsid w:val="00D427AA"/>
    <w:rsid w:val="00D427D3"/>
    <w:rsid w:val="00D50585"/>
    <w:rsid w:val="00D51472"/>
    <w:rsid w:val="00D51514"/>
    <w:rsid w:val="00D53727"/>
    <w:rsid w:val="00D60037"/>
    <w:rsid w:val="00D61085"/>
    <w:rsid w:val="00D64A59"/>
    <w:rsid w:val="00D9207C"/>
    <w:rsid w:val="00D93621"/>
    <w:rsid w:val="00D95F11"/>
    <w:rsid w:val="00D97787"/>
    <w:rsid w:val="00DB4406"/>
    <w:rsid w:val="00DB45E7"/>
    <w:rsid w:val="00DB5A57"/>
    <w:rsid w:val="00DB7945"/>
    <w:rsid w:val="00DC378B"/>
    <w:rsid w:val="00DC5957"/>
    <w:rsid w:val="00DC6D48"/>
    <w:rsid w:val="00DD0370"/>
    <w:rsid w:val="00DD1357"/>
    <w:rsid w:val="00DD170E"/>
    <w:rsid w:val="00DE2774"/>
    <w:rsid w:val="00DE3C7D"/>
    <w:rsid w:val="00DE7D21"/>
    <w:rsid w:val="00DF0555"/>
    <w:rsid w:val="00E01C0C"/>
    <w:rsid w:val="00E15066"/>
    <w:rsid w:val="00E32CAF"/>
    <w:rsid w:val="00E33EF6"/>
    <w:rsid w:val="00E33FA5"/>
    <w:rsid w:val="00E358B8"/>
    <w:rsid w:val="00E40660"/>
    <w:rsid w:val="00E47CEC"/>
    <w:rsid w:val="00E50D23"/>
    <w:rsid w:val="00E5216D"/>
    <w:rsid w:val="00E524CA"/>
    <w:rsid w:val="00E56E89"/>
    <w:rsid w:val="00E57F4F"/>
    <w:rsid w:val="00E74B27"/>
    <w:rsid w:val="00E953F5"/>
    <w:rsid w:val="00EB651C"/>
    <w:rsid w:val="00EC791F"/>
    <w:rsid w:val="00ED323B"/>
    <w:rsid w:val="00ED4BE1"/>
    <w:rsid w:val="00EE3FDC"/>
    <w:rsid w:val="00EE5E88"/>
    <w:rsid w:val="00EE6980"/>
    <w:rsid w:val="00EE6F22"/>
    <w:rsid w:val="00EF0905"/>
    <w:rsid w:val="00EF291C"/>
    <w:rsid w:val="00F21FFE"/>
    <w:rsid w:val="00F363F9"/>
    <w:rsid w:val="00F603A0"/>
    <w:rsid w:val="00F60D89"/>
    <w:rsid w:val="00F628B3"/>
    <w:rsid w:val="00F6388A"/>
    <w:rsid w:val="00F639B2"/>
    <w:rsid w:val="00F7180E"/>
    <w:rsid w:val="00F8104C"/>
    <w:rsid w:val="00F81888"/>
    <w:rsid w:val="00F90577"/>
    <w:rsid w:val="00F93CA2"/>
    <w:rsid w:val="00FA15B8"/>
    <w:rsid w:val="00FA27C7"/>
    <w:rsid w:val="00FC5D95"/>
    <w:rsid w:val="00FD0F44"/>
    <w:rsid w:val="00FE7AC2"/>
    <w:rsid w:val="00FF5912"/>
    <w:rsid w:val="00FF765B"/>
    <w:rsid w:val="07904584"/>
    <w:rsid w:val="18187094"/>
    <w:rsid w:val="1CF26FA1"/>
    <w:rsid w:val="2AF906B3"/>
    <w:rsid w:val="2CC47A67"/>
    <w:rsid w:val="31FA10E4"/>
    <w:rsid w:val="3F312CF7"/>
    <w:rsid w:val="40457D90"/>
    <w:rsid w:val="4C731936"/>
    <w:rsid w:val="52DD2A86"/>
    <w:rsid w:val="55934C53"/>
    <w:rsid w:val="56DEC84E"/>
    <w:rsid w:val="5EA26ECA"/>
    <w:rsid w:val="676E19A4"/>
    <w:rsid w:val="67892C53"/>
    <w:rsid w:val="6E456C8F"/>
    <w:rsid w:val="6EC541D9"/>
    <w:rsid w:val="6F1C4A10"/>
    <w:rsid w:val="CED64DED"/>
    <w:rsid w:val="FB2F3F9A"/>
    <w:rsid w:val="FDAF9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25"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6">
    <w:name w:val="heading 4"/>
    <w:basedOn w:val="1"/>
    <w:next w:val="1"/>
    <w:link w:val="27"/>
    <w:qFormat/>
    <w:uiPriority w:val="9"/>
    <w:pPr>
      <w:keepNext/>
      <w:keepLines/>
      <w:spacing w:beforeLines="50" w:after="290" w:line="377" w:lineRule="auto"/>
      <w:ind w:left="987"/>
      <w:outlineLvl w:val="3"/>
    </w:pPr>
    <w:rPr>
      <w:rFonts w:ascii="Cambria" w:hAnsi="Cambria"/>
      <w:b/>
      <w:bCs/>
      <w:color w:val="000000"/>
      <w:sz w:val="30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7">
    <w:name w:val="annotation text"/>
    <w:basedOn w:val="1"/>
    <w:link w:val="23"/>
    <w:qFormat/>
    <w:uiPriority w:val="99"/>
    <w:pPr>
      <w:jc w:val="left"/>
    </w:pPr>
  </w:style>
  <w:style w:type="paragraph" w:styleId="8">
    <w:name w:val="Body Text"/>
    <w:basedOn w:val="1"/>
    <w:link w:val="24"/>
    <w:qFormat/>
    <w:uiPriority w:val="0"/>
    <w:pPr>
      <w:jc w:val="center"/>
    </w:pPr>
    <w:rPr>
      <w:sz w:val="44"/>
    </w:rPr>
  </w:style>
  <w:style w:type="paragraph" w:styleId="9">
    <w:name w:val="Body Text Indent"/>
    <w:basedOn w:val="1"/>
    <w:link w:val="44"/>
    <w:qFormat/>
    <w:uiPriority w:val="0"/>
    <w:pPr>
      <w:ind w:firstLine="360"/>
    </w:pPr>
  </w:style>
  <w:style w:type="paragraph" w:styleId="10">
    <w:name w:val="Plain Text"/>
    <w:basedOn w:val="1"/>
    <w:link w:val="28"/>
    <w:qFormat/>
    <w:uiPriority w:val="0"/>
    <w:rPr>
      <w:rFonts w:ascii="宋体" w:hAnsi="Courier New" w:eastAsia="仿宋_GB2312"/>
      <w:sz w:val="30"/>
    </w:rPr>
  </w:style>
  <w:style w:type="paragraph" w:styleId="11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12">
    <w:name w:val="Balloon Text"/>
    <w:basedOn w:val="1"/>
    <w:link w:val="36"/>
    <w:qFormat/>
    <w:uiPriority w:val="99"/>
    <w:rPr>
      <w:sz w:val="18"/>
      <w:szCs w:val="18"/>
    </w:rPr>
  </w:style>
  <w:style w:type="paragraph" w:styleId="13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16">
    <w:name w:val="annotation subject"/>
    <w:basedOn w:val="7"/>
    <w:next w:val="7"/>
    <w:link w:val="35"/>
    <w:unhideWhenUsed/>
    <w:qFormat/>
    <w:uiPriority w:val="99"/>
    <w:rPr>
      <w:rFonts w:ascii="Calibri" w:hAnsi="Calibri"/>
      <w:b/>
      <w:bCs/>
      <w:szCs w:val="22"/>
    </w:rPr>
  </w:style>
  <w:style w:type="table" w:styleId="18">
    <w:name w:val="Table Grid"/>
    <w:basedOn w:val="1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22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annotation reference"/>
    <w:basedOn w:val="19"/>
    <w:unhideWhenUsed/>
    <w:qFormat/>
    <w:uiPriority w:val="99"/>
    <w:rPr>
      <w:sz w:val="21"/>
      <w:szCs w:val="21"/>
    </w:rPr>
  </w:style>
  <w:style w:type="character" w:customStyle="1" w:styleId="23">
    <w:name w:val="批注文字 Char"/>
    <w:basedOn w:val="19"/>
    <w:link w:val="7"/>
    <w:qFormat/>
    <w:uiPriority w:val="99"/>
    <w:rPr>
      <w:kern w:val="2"/>
      <w:sz w:val="21"/>
    </w:rPr>
  </w:style>
  <w:style w:type="character" w:customStyle="1" w:styleId="24">
    <w:name w:val="正文文本 Char"/>
    <w:link w:val="8"/>
    <w:qFormat/>
    <w:uiPriority w:val="0"/>
    <w:rPr>
      <w:kern w:val="2"/>
      <w:sz w:val="44"/>
    </w:rPr>
  </w:style>
  <w:style w:type="character" w:customStyle="1" w:styleId="25">
    <w:name w:val="标题 3 Char"/>
    <w:basedOn w:val="19"/>
    <w:link w:val="5"/>
    <w:qFormat/>
    <w:uiPriority w:val="9"/>
    <w:rPr>
      <w:rFonts w:ascii="Calibri" w:hAnsi="Calibri" w:eastAsia="宋体" w:cs="Times New Roman"/>
      <w:b/>
      <w:bCs/>
      <w:kern w:val="2"/>
      <w:sz w:val="32"/>
      <w:szCs w:val="32"/>
    </w:rPr>
  </w:style>
  <w:style w:type="character" w:customStyle="1" w:styleId="26">
    <w:name w:val="页脚 Char"/>
    <w:basedOn w:val="19"/>
    <w:link w:val="13"/>
    <w:qFormat/>
    <w:uiPriority w:val="99"/>
    <w:rPr>
      <w:kern w:val="2"/>
      <w:sz w:val="18"/>
      <w:szCs w:val="18"/>
    </w:rPr>
  </w:style>
  <w:style w:type="character" w:customStyle="1" w:styleId="27">
    <w:name w:val="标题 4 Char"/>
    <w:basedOn w:val="19"/>
    <w:link w:val="6"/>
    <w:qFormat/>
    <w:uiPriority w:val="9"/>
    <w:rPr>
      <w:rFonts w:ascii="Cambria" w:hAnsi="Cambria"/>
      <w:b/>
      <w:bCs/>
      <w:color w:val="000000"/>
      <w:kern w:val="2"/>
      <w:sz w:val="30"/>
      <w:szCs w:val="28"/>
    </w:rPr>
  </w:style>
  <w:style w:type="character" w:customStyle="1" w:styleId="28">
    <w:name w:val="纯文本 Char"/>
    <w:basedOn w:val="19"/>
    <w:link w:val="10"/>
    <w:qFormat/>
    <w:uiPriority w:val="0"/>
    <w:rPr>
      <w:rFonts w:ascii="宋体" w:hAnsi="Courier New" w:eastAsia="仿宋_GB2312"/>
      <w:kern w:val="2"/>
      <w:sz w:val="30"/>
    </w:rPr>
  </w:style>
  <w:style w:type="character" w:customStyle="1" w:styleId="29">
    <w:name w:val="标题 1 Char"/>
    <w:basedOn w:val="19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0">
    <w:name w:val="font11"/>
    <w:basedOn w:val="1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1">
    <w:name w:val="标题 2 Char"/>
    <w:basedOn w:val="19"/>
    <w:link w:val="4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2">
    <w:name w:val="font21"/>
    <w:basedOn w:val="1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33">
    <w:name w:val="font31"/>
    <w:basedOn w:val="19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  <w:style w:type="character" w:customStyle="1" w:styleId="34">
    <w:name w:val="页眉 Char"/>
    <w:link w:val="14"/>
    <w:qFormat/>
    <w:uiPriority w:val="99"/>
    <w:rPr>
      <w:kern w:val="2"/>
      <w:sz w:val="18"/>
      <w:szCs w:val="18"/>
    </w:rPr>
  </w:style>
  <w:style w:type="character" w:customStyle="1" w:styleId="35">
    <w:name w:val="批注主题 Char"/>
    <w:basedOn w:val="23"/>
    <w:link w:val="16"/>
    <w:qFormat/>
    <w:uiPriority w:val="99"/>
    <w:rPr>
      <w:rFonts w:ascii="Calibri" w:hAnsi="Calibri" w:eastAsia="宋体" w:cs="Times New Roman"/>
      <w:b/>
      <w:bCs/>
      <w:szCs w:val="22"/>
    </w:rPr>
  </w:style>
  <w:style w:type="character" w:customStyle="1" w:styleId="36">
    <w:name w:val="批注框文本 Char"/>
    <w:link w:val="12"/>
    <w:qFormat/>
    <w:uiPriority w:val="99"/>
    <w:rPr>
      <w:kern w:val="2"/>
      <w:sz w:val="18"/>
      <w:szCs w:val="18"/>
    </w:rPr>
  </w:style>
  <w:style w:type="paragraph" w:customStyle="1" w:styleId="3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customStyle="1" w:styleId="39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40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41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customStyle="1" w:styleId="42">
    <w:name w:val="p2"/>
    <w:basedOn w:val="1"/>
    <w:qFormat/>
    <w:uiPriority w:val="0"/>
    <w:pPr>
      <w:widowControl/>
      <w:spacing w:before="100" w:beforeAutospacing="1" w:after="100" w:afterAutospacing="1" w:line="600" w:lineRule="atLeast"/>
      <w:jc w:val="left"/>
    </w:pPr>
    <w:rPr>
      <w:rFonts w:ascii="仿宋_GB2312" w:hAnsi="宋体" w:eastAsia="仿宋_GB2312" w:cs="宋体"/>
      <w:color w:val="000000"/>
      <w:kern w:val="0"/>
      <w:sz w:val="32"/>
      <w:szCs w:val="32"/>
    </w:rPr>
  </w:style>
  <w:style w:type="character" w:customStyle="1" w:styleId="43">
    <w:name w:val="fontstyle01"/>
    <w:basedOn w:val="19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44">
    <w:name w:val="正文文本缩进 Char"/>
    <w:basedOn w:val="19"/>
    <w:link w:val="9"/>
    <w:qFormat/>
    <w:uiPriority w:val="0"/>
    <w:rPr>
      <w:kern w:val="2"/>
      <w:sz w:val="21"/>
    </w:rPr>
  </w:style>
  <w:style w:type="paragraph" w:customStyle="1" w:styleId="45">
    <w:name w:val="样式4"/>
    <w:basedOn w:val="1"/>
    <w:qFormat/>
    <w:uiPriority w:val="0"/>
    <w:pPr>
      <w:spacing w:line="560" w:lineRule="exact"/>
      <w:ind w:firstLine="1040" w:firstLineChars="200"/>
    </w:pPr>
    <w:rPr>
      <w:rFonts w:eastAsia="仿宋_GB2312"/>
      <w:b/>
      <w:sz w:val="32"/>
      <w:szCs w:val="24"/>
    </w:rPr>
  </w:style>
  <w:style w:type="paragraph" w:customStyle="1" w:styleId="46">
    <w:name w:val="4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7">
    <w:name w:val="Heading 2"/>
    <w:basedOn w:val="1"/>
    <w:qFormat/>
    <w:uiPriority w:val="1"/>
    <w:pPr>
      <w:ind w:left="113"/>
      <w:jc w:val="left"/>
      <w:outlineLvl w:val="2"/>
    </w:pPr>
    <w:rPr>
      <w:rFonts w:ascii="宋体" w:hAnsi="宋体"/>
      <w:kern w:val="0"/>
      <w:sz w:val="29"/>
      <w:szCs w:val="29"/>
      <w:lang w:eastAsia="en-US"/>
    </w:rPr>
  </w:style>
  <w:style w:type="character" w:customStyle="1" w:styleId="4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 textRotate="1"/>
    <customShpInfo spid="_x0000_s2053" textRotate="1"/>
    <customShpInfo spid="_x0000_s1057"/>
    <customShpInfo spid="_x0000_s1068"/>
    <customShpInfo spid="_x0000_s1069"/>
    <customShpInfo spid="_x0000_s107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18</Pages>
  <Words>1212</Words>
  <Characters>6913</Characters>
  <Lines>57</Lines>
  <Paragraphs>16</Paragraphs>
  <TotalTime>1</TotalTime>
  <ScaleCrop>false</ScaleCrop>
  <LinksUpToDate>false</LinksUpToDate>
  <CharactersWithSpaces>8109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2009-10-07T22:16:00Z</dcterms:created>
  <dc:creator>linhong</dc:creator>
  <cp:lastModifiedBy>文印</cp:lastModifiedBy>
  <cp:lastPrinted>2021-07-17T08:04:00Z</cp:lastPrinted>
  <dcterms:modified xsi:type="dcterms:W3CDTF">2021-10-27T15:07:59Z</dcterms:modified>
  <dc:title>塘计[2004]1号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