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89" w:tblpY="429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0"/>
        <w:gridCol w:w="1771"/>
        <w:gridCol w:w="978"/>
        <w:gridCol w:w="981"/>
        <w:gridCol w:w="783"/>
        <w:gridCol w:w="27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35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kern w:val="0"/>
                <w:sz w:val="40"/>
                <w:szCs w:val="40"/>
              </w:rPr>
              <w:t>青岛市医疗保险异地医疗登记表(个人）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35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□异地安置      □异地长期居住       □常驻异地工作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7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□男 □女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登记类别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□新增                     □变更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联系电话2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转往省（市、区）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省 　 　   　　 市  　     县（区）　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起于    年  月  日            止于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门诊大病定点医院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5" w:type="dxa"/>
            <w:gridSpan w:val="6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温馨提示：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535" w:type="dxa"/>
            <w:gridSpan w:val="6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1、跨省异地就医执行就医地目录、参保地起付线封顶线及支付比例。因各地目录差异，直接结算与回参保地报销可能存在待遇差。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535" w:type="dxa"/>
            <w:gridSpan w:val="6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　办理报备时直接报备到就医地市或省份。北京、天津、上海、重庆、海南、西藏和新疆兵团报备到省份。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35" w:type="dxa"/>
            <w:gridSpan w:val="6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3、未按规定办理登记报备手续，或在就医地非定点医疗机构发生的医疗费用，按参保地现有规定办理。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35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</w:t>
            </w:r>
            <w:r>
              <w:rPr>
                <w:rFonts w:hint="eastAsia" w:ascii="宋体" w:hAnsi="宋体" w:cs="宋体"/>
                <w:sz w:val="24"/>
              </w:rPr>
              <w:t>获取门诊大病资格的参保人，只能在异地或青岛市选择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一家</w:t>
            </w:r>
            <w:r>
              <w:rPr>
                <w:rFonts w:hint="eastAsia" w:ascii="宋体" w:hAnsi="宋体" w:cs="宋体"/>
                <w:sz w:val="24"/>
              </w:rPr>
              <w:t>医疗机构作为门诊大病定点机构，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异地门诊大病定点医疗机构应是全国联网定点医疗机构。</w:t>
            </w:r>
            <w:r>
              <w:rPr>
                <w:rFonts w:hint="eastAsia" w:ascii="宋体" w:hAnsi="宋体" w:cs="宋体"/>
                <w:bCs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选择定点在异地医疗机构的，在报备通过的同时，在青岛市的门诊大病定点信息即刻终止。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5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经办机构：            联系电话：                 经办日期：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35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注：本表一式二份，医保经办机构、个人（单位）各持一份，请注意保存。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2D36"/>
    <w:rsid w:val="5A2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2020-06-12T08:42:00Z</dcterms:created>
  <dc:creator>DELL</dc:creator>
  <cp:lastModifiedBy>DELL</cp:lastModifiedBy>
  <dcterms:modified xsi:type="dcterms:W3CDTF">2020-06-12T08:42:53Z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