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b/>
          <w:bCs/>
          <w:color w:val="000000" w:themeColor="text1"/>
          <w:sz w:val="36"/>
          <w:szCs w:val="36"/>
          <w:lang w:val="en-US" w:eastAsia="zh-CN"/>
          <w14:textFill>
            <w14:solidFill>
              <w14:schemeClr w14:val="tx1"/>
            </w14:solidFill>
          </w14:textFill>
        </w:rPr>
        <w:t>长护待遇申请、咨询、投诉举报等业务办理地址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2" w:firstLineChars="200"/>
        <w:jc w:val="both"/>
        <w:textAlignment w:val="auto"/>
        <w:outlineLvl w:val="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1.乌鲁木齐市医疗保障局长期护理保险业务窗口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地址：乌鲁木齐市人力资源和社会保障惠民大楼二楼18号窗口（克拉玛依东路5号，原金马大厦）；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联系电话：0991-4817169   4817149</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2" w:firstLineChars="200"/>
        <w:jc w:val="both"/>
        <w:textAlignment w:val="auto"/>
        <w:outlineLvl w:val="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2.乌鲁木齐市长期护理保险共保办公室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地址：乌鲁木齐市沙依巴克区黄河路2号恒昌大厦23楼；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联系电话：0991-6512660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b/>
          <w:bCs/>
          <w:color w:val="000000" w:themeColor="text1"/>
          <w:sz w:val="36"/>
          <w:szCs w:val="36"/>
          <w:lang w:val="en-US" w:eastAsia="zh-CN"/>
          <w14:textFill>
            <w14:solidFill>
              <w14:schemeClr w14:val="tx1"/>
            </w14:solidFill>
          </w14:textFill>
        </w:rPr>
        <w:t>长护便民服务窗口</w:t>
      </w:r>
      <w:bookmarkStart w:id="0" w:name="_GoBack"/>
      <w:bookmarkEnd w:id="0"/>
    </w:p>
    <w:tbl>
      <w:tblPr>
        <w:tblStyle w:val="4"/>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627"/>
        <w:gridCol w:w="3135"/>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48" w:type="dxa"/>
            <w:shd w:val="clear" w:color="auto" w:fill="B6DDE8"/>
            <w:vAlign w:val="center"/>
          </w:tcPr>
          <w:p>
            <w:pPr>
              <w:jc w:val="center"/>
              <w:rPr>
                <w:rFonts w:hint="eastAsia" w:ascii="仿宋_GB2312" w:hAnsi="仿宋_GB2312" w:eastAsia="仿宋_GB2312" w:cs="仿宋_GB2312"/>
                <w:b/>
                <w:bCs/>
                <w:color w:val="000000" w:themeColor="text1"/>
                <w:sz w:val="30"/>
                <w:szCs w:val="30"/>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vertAlign w:val="baseline"/>
                <w:lang w:val="en-US" w:eastAsia="zh-CN"/>
                <w14:textFill>
                  <w14:solidFill>
                    <w14:schemeClr w14:val="tx1"/>
                  </w14:solidFill>
                </w14:textFill>
              </w:rPr>
              <w:t>区县</w:t>
            </w:r>
          </w:p>
        </w:tc>
        <w:tc>
          <w:tcPr>
            <w:tcW w:w="2627" w:type="dxa"/>
            <w:shd w:val="clear" w:color="auto" w:fill="B6DDE8"/>
            <w:vAlign w:val="center"/>
          </w:tcPr>
          <w:p>
            <w:pPr>
              <w:jc w:val="center"/>
              <w:rPr>
                <w:rFonts w:hint="eastAsia" w:ascii="仿宋_GB2312" w:hAnsi="仿宋_GB2312" w:eastAsia="仿宋_GB2312" w:cs="仿宋_GB2312"/>
                <w:b/>
                <w:bCs/>
                <w:color w:val="000000" w:themeColor="text1"/>
                <w:sz w:val="30"/>
                <w:szCs w:val="30"/>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vertAlign w:val="baseline"/>
                <w:lang w:val="en-US" w:eastAsia="zh-CN"/>
                <w14:textFill>
                  <w14:solidFill>
                    <w14:schemeClr w14:val="tx1"/>
                  </w14:solidFill>
                </w14:textFill>
              </w:rPr>
              <w:t>经办单位</w:t>
            </w:r>
          </w:p>
        </w:tc>
        <w:tc>
          <w:tcPr>
            <w:tcW w:w="3135" w:type="dxa"/>
            <w:shd w:val="clear" w:color="auto" w:fill="B6DDE8"/>
            <w:vAlign w:val="top"/>
          </w:tcPr>
          <w:p>
            <w:pPr>
              <w:jc w:val="center"/>
              <w:rPr>
                <w:rFonts w:hint="eastAsia" w:ascii="仿宋_GB2312" w:hAnsi="仿宋_GB2312" w:eastAsia="仿宋_GB2312" w:cs="仿宋_GB2312"/>
                <w:b/>
                <w:bCs/>
                <w:color w:val="000000" w:themeColor="text1"/>
                <w:sz w:val="30"/>
                <w:szCs w:val="30"/>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vertAlign w:val="baseline"/>
                <w:lang w:val="en-US" w:eastAsia="zh-CN"/>
                <w14:textFill>
                  <w14:solidFill>
                    <w14:schemeClr w14:val="tx1"/>
                  </w14:solidFill>
                </w14:textFill>
              </w:rPr>
              <w:t>地址</w:t>
            </w:r>
          </w:p>
        </w:tc>
        <w:tc>
          <w:tcPr>
            <w:tcW w:w="1772" w:type="dxa"/>
            <w:shd w:val="clear" w:color="auto" w:fill="B6DDE8"/>
            <w:vAlign w:val="center"/>
          </w:tcPr>
          <w:p>
            <w:pPr>
              <w:jc w:val="center"/>
              <w:rPr>
                <w:rFonts w:hint="eastAsia" w:ascii="仿宋_GB2312" w:hAnsi="仿宋_GB2312" w:eastAsia="仿宋_GB2312" w:cs="仿宋_GB2312"/>
                <w:b/>
                <w:bCs/>
                <w:color w:val="000000" w:themeColor="text1"/>
                <w:sz w:val="30"/>
                <w:szCs w:val="30"/>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vertAlign w:val="baseline"/>
                <w:lang w:val="en-US" w:eastAsia="zh-CN"/>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448" w:type="dxa"/>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沙依巴克区</w:t>
            </w:r>
          </w:p>
        </w:tc>
        <w:tc>
          <w:tcPr>
            <w:tcW w:w="2627" w:type="dxa"/>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泰康人寿保险公司</w:t>
            </w:r>
          </w:p>
        </w:tc>
        <w:tc>
          <w:tcPr>
            <w:tcW w:w="3135" w:type="dxa"/>
            <w:vAlign w:val="top"/>
          </w:tcPr>
          <w:p>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乌鲁木齐市沙依巴克区黄河路2号恒昌大厦1楼</w:t>
            </w:r>
          </w:p>
        </w:tc>
        <w:tc>
          <w:tcPr>
            <w:tcW w:w="1772" w:type="dxa"/>
            <w:vAlign w:val="center"/>
          </w:tcPr>
          <w:p>
            <w:pPr>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0991-2351204</w:t>
            </w:r>
          </w:p>
          <w:p>
            <w:pPr>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0991-5825612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448" w:type="dxa"/>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新市区</w:t>
            </w:r>
          </w:p>
        </w:tc>
        <w:tc>
          <w:tcPr>
            <w:tcW w:w="2627" w:type="dxa"/>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太平洋保险公司</w:t>
            </w:r>
          </w:p>
        </w:tc>
        <w:tc>
          <w:tcPr>
            <w:tcW w:w="3135" w:type="dxa"/>
            <w:vAlign w:val="top"/>
          </w:tcPr>
          <w:p>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乌鲁木齐市新市区北京南路218号天易大厦4楼。</w:t>
            </w:r>
          </w:p>
        </w:tc>
        <w:tc>
          <w:tcPr>
            <w:tcW w:w="1772" w:type="dxa"/>
            <w:vAlign w:val="center"/>
          </w:tcPr>
          <w:p>
            <w:pPr>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0991-3638923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48" w:type="dxa"/>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米东区</w:t>
            </w:r>
          </w:p>
        </w:tc>
        <w:tc>
          <w:tcPr>
            <w:tcW w:w="2627" w:type="dxa"/>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中国人民健康保险公司</w:t>
            </w:r>
          </w:p>
        </w:tc>
        <w:tc>
          <w:tcPr>
            <w:tcW w:w="3135" w:type="dxa"/>
            <w:vAlign w:val="top"/>
          </w:tcPr>
          <w:p>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乌鲁木齐市米东区稻香南路434号2楼 </w:t>
            </w:r>
          </w:p>
        </w:tc>
        <w:tc>
          <w:tcPr>
            <w:tcW w:w="1772" w:type="dxa"/>
            <w:vAlign w:val="center"/>
          </w:tcPr>
          <w:p>
            <w:pPr>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0991-3300516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48" w:type="dxa"/>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达坂城区</w:t>
            </w:r>
          </w:p>
        </w:tc>
        <w:tc>
          <w:tcPr>
            <w:tcW w:w="2627" w:type="dxa"/>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中国人民健康保险公司</w:t>
            </w:r>
          </w:p>
        </w:tc>
        <w:tc>
          <w:tcPr>
            <w:tcW w:w="3135" w:type="dxa"/>
            <w:vAlign w:val="top"/>
          </w:tcPr>
          <w:p>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乌鲁木齐市达坂城区达坂城镇洛宾路东五巷7号 </w:t>
            </w:r>
          </w:p>
        </w:tc>
        <w:tc>
          <w:tcPr>
            <w:tcW w:w="1772" w:type="dxa"/>
            <w:vAlign w:val="center"/>
          </w:tcPr>
          <w:p>
            <w:pPr>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0991-5919125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48" w:type="dxa"/>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天山区</w:t>
            </w:r>
          </w:p>
        </w:tc>
        <w:tc>
          <w:tcPr>
            <w:tcW w:w="2627" w:type="dxa"/>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太平洋保险公司</w:t>
            </w:r>
          </w:p>
        </w:tc>
        <w:tc>
          <w:tcPr>
            <w:tcW w:w="3135" w:type="dxa"/>
            <w:vAlign w:val="top"/>
          </w:tcPr>
          <w:p>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乌鲁木齐市天山区新华南路388号键龙金融中心二期中国太平洋人寿保险股份有限公司乌鲁木齐中心支公司一楼营业中心。</w:t>
            </w:r>
          </w:p>
        </w:tc>
        <w:tc>
          <w:tcPr>
            <w:tcW w:w="1772" w:type="dxa"/>
            <w:vAlign w:val="center"/>
          </w:tcPr>
          <w:p>
            <w:pPr>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0991-6288311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48" w:type="dxa"/>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水磨沟区</w:t>
            </w:r>
          </w:p>
        </w:tc>
        <w:tc>
          <w:tcPr>
            <w:tcW w:w="2627" w:type="dxa"/>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中国人寿保险公司</w:t>
            </w:r>
          </w:p>
        </w:tc>
        <w:tc>
          <w:tcPr>
            <w:tcW w:w="3135" w:type="dxa"/>
            <w:vAlign w:val="top"/>
          </w:tcPr>
          <w:p>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乌鲁木齐市水磨沟区南湖东路139号（中国人寿大厦）</w:t>
            </w:r>
          </w:p>
        </w:tc>
        <w:tc>
          <w:tcPr>
            <w:tcW w:w="1772" w:type="dxa"/>
            <w:vAlign w:val="center"/>
          </w:tcPr>
          <w:p>
            <w:pPr>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0991-4182550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48" w:type="dxa"/>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头屯河区</w:t>
            </w:r>
          </w:p>
        </w:tc>
        <w:tc>
          <w:tcPr>
            <w:tcW w:w="2627" w:type="dxa"/>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中国人寿保险公司</w:t>
            </w:r>
          </w:p>
        </w:tc>
        <w:tc>
          <w:tcPr>
            <w:tcW w:w="3135" w:type="dxa"/>
            <w:vAlign w:val="top"/>
          </w:tcPr>
          <w:p>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乌鲁木齐市头屯河区屯坪南路16号华美紫轩大酒店8楼 </w:t>
            </w:r>
          </w:p>
        </w:tc>
        <w:tc>
          <w:tcPr>
            <w:tcW w:w="1772" w:type="dxa"/>
            <w:vAlign w:val="center"/>
          </w:tcPr>
          <w:p>
            <w:pPr>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0991-3105930</w:t>
            </w:r>
          </w:p>
        </w:tc>
      </w:tr>
    </w:tbl>
    <w:p>
      <w:pPr>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8E5F8E"/>
    <w:rsid w:val="7EC0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00" w:lineRule="exact"/>
      <w:outlineLvl w:val="1"/>
    </w:pPr>
    <w:rPr>
      <w:rFonts w:ascii="Arial" w:hAnsi="Arial" w:eastAsia="黑体"/>
      <w:b/>
      <w:sz w:val="32"/>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2019-06-25T03:01:13Z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