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91" w:rsidRDefault="00A03391" w:rsidP="00A03391">
      <w:pPr>
        <w:adjustRightInd w:val="0"/>
        <w:snapToGrid w:val="0"/>
        <w:rPr>
          <w:rFonts w:ascii="黑体" w:eastAsia="黑体" w:hAnsi="黑体" w:cs="Times New Roman"/>
          <w:sz w:val="32"/>
          <w:szCs w:val="32"/>
        </w:rPr>
      </w:pPr>
      <w:r>
        <w:rPr>
          <w:rFonts w:ascii="黑体" w:eastAsia="黑体" w:hAnsi="黑体" w:cs="黑体" w:hint="eastAsia"/>
          <w:sz w:val="32"/>
          <w:szCs w:val="32"/>
        </w:rPr>
        <w:t>附件2</w:t>
      </w:r>
    </w:p>
    <w:p w:rsidR="00A03391" w:rsidRPr="004129A6" w:rsidRDefault="00A03391" w:rsidP="00A03391">
      <w:pPr>
        <w:jc w:val="center"/>
        <w:rPr>
          <w:rFonts w:ascii="方正小标宋简体" w:eastAsia="方正小标宋简体" w:hAnsi="文星标宋" w:cs="方正小标宋简体" w:hint="eastAsia"/>
          <w:w w:val="90"/>
          <w:sz w:val="40"/>
          <w:szCs w:val="40"/>
        </w:rPr>
      </w:pPr>
      <w:r w:rsidRPr="004129A6">
        <w:rPr>
          <w:rFonts w:ascii="方正小标宋简体" w:eastAsia="方正小标宋简体" w:hAnsi="文星标宋" w:cs="方正小标宋简体" w:hint="eastAsia"/>
          <w:w w:val="90"/>
          <w:sz w:val="40"/>
          <w:szCs w:val="40"/>
        </w:rPr>
        <w:t>落实中央层面设定的涉企经营许可事项改革清单（</w:t>
      </w:r>
      <w:r w:rsidRPr="004129A6">
        <w:rPr>
          <w:rFonts w:ascii="方正小标宋简体" w:eastAsia="方正小标宋简体" w:hAnsi="文星标宋" w:cs="方正小标宋简体"/>
          <w:w w:val="90"/>
          <w:sz w:val="40"/>
          <w:szCs w:val="40"/>
        </w:rPr>
        <w:t>2021年自由贸易试验区版）责任分工</w:t>
      </w:r>
    </w:p>
    <w:tbl>
      <w:tblPr>
        <w:tblW w:w="140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440"/>
        <w:gridCol w:w="546"/>
        <w:gridCol w:w="966"/>
        <w:gridCol w:w="840"/>
        <w:gridCol w:w="1316"/>
        <w:gridCol w:w="812"/>
        <w:gridCol w:w="546"/>
        <w:gridCol w:w="546"/>
        <w:gridCol w:w="573"/>
        <w:gridCol w:w="546"/>
        <w:gridCol w:w="2086"/>
        <w:gridCol w:w="3835"/>
        <w:gridCol w:w="953"/>
      </w:tblGrid>
      <w:tr w:rsidR="00A03391" w:rsidRPr="008C4F58" w:rsidTr="007B0817">
        <w:trPr>
          <w:trHeight w:val="270"/>
          <w:tblHeader/>
          <w:jc w:val="center"/>
        </w:trPr>
        <w:tc>
          <w:tcPr>
            <w:tcW w:w="440"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序号</w:t>
            </w:r>
          </w:p>
        </w:tc>
        <w:tc>
          <w:tcPr>
            <w:tcW w:w="546"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主管部门</w:t>
            </w:r>
          </w:p>
        </w:tc>
        <w:tc>
          <w:tcPr>
            <w:tcW w:w="966"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改革事项</w:t>
            </w:r>
          </w:p>
        </w:tc>
        <w:tc>
          <w:tcPr>
            <w:tcW w:w="840"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许可证件名称</w:t>
            </w:r>
          </w:p>
        </w:tc>
        <w:tc>
          <w:tcPr>
            <w:tcW w:w="1316"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设定依据</w:t>
            </w:r>
          </w:p>
        </w:tc>
        <w:tc>
          <w:tcPr>
            <w:tcW w:w="812"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审批层级和部门</w:t>
            </w:r>
          </w:p>
        </w:tc>
        <w:tc>
          <w:tcPr>
            <w:tcW w:w="2211" w:type="dxa"/>
            <w:gridSpan w:val="4"/>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改革方式</w:t>
            </w:r>
          </w:p>
        </w:tc>
        <w:tc>
          <w:tcPr>
            <w:tcW w:w="2086"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具体改革举措</w:t>
            </w:r>
          </w:p>
        </w:tc>
        <w:tc>
          <w:tcPr>
            <w:tcW w:w="3835"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加强事中事后监管措施</w:t>
            </w:r>
          </w:p>
        </w:tc>
        <w:tc>
          <w:tcPr>
            <w:tcW w:w="953" w:type="dxa"/>
            <w:vMerge w:val="restart"/>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责任部门</w:t>
            </w:r>
          </w:p>
        </w:tc>
      </w:tr>
      <w:tr w:rsidR="00A03391" w:rsidRPr="008C4F58" w:rsidTr="007B0817">
        <w:trPr>
          <w:trHeight w:val="540"/>
          <w:tblHeader/>
          <w:jc w:val="center"/>
        </w:trPr>
        <w:tc>
          <w:tcPr>
            <w:tcW w:w="440" w:type="dxa"/>
            <w:vMerge/>
            <w:vAlign w:val="center"/>
          </w:tcPr>
          <w:p w:rsidR="00A03391" w:rsidRPr="008C4F58" w:rsidRDefault="00A03391" w:rsidP="007B0817">
            <w:pPr>
              <w:widowControl/>
              <w:adjustRightInd w:val="0"/>
              <w:snapToGrid w:val="0"/>
              <w:jc w:val="left"/>
              <w:rPr>
                <w:rFonts w:ascii="黑体" w:eastAsia="黑体" w:hAnsi="黑体" w:cs="宋体" w:hint="eastAsia"/>
                <w:bCs/>
                <w:color w:val="000000"/>
                <w:kern w:val="0"/>
              </w:rPr>
            </w:pPr>
          </w:p>
        </w:tc>
        <w:tc>
          <w:tcPr>
            <w:tcW w:w="546" w:type="dxa"/>
            <w:vMerge/>
            <w:vAlign w:val="center"/>
          </w:tcPr>
          <w:p w:rsidR="00A03391" w:rsidRPr="008C4F58" w:rsidRDefault="00A03391" w:rsidP="007B0817">
            <w:pPr>
              <w:widowControl/>
              <w:adjustRightInd w:val="0"/>
              <w:snapToGrid w:val="0"/>
              <w:jc w:val="left"/>
              <w:rPr>
                <w:rFonts w:ascii="黑体" w:eastAsia="黑体" w:hAnsi="黑体" w:cs="宋体" w:hint="eastAsia"/>
                <w:bCs/>
                <w:color w:val="000000"/>
                <w:kern w:val="0"/>
              </w:rPr>
            </w:pPr>
          </w:p>
        </w:tc>
        <w:tc>
          <w:tcPr>
            <w:tcW w:w="966" w:type="dxa"/>
            <w:vMerge/>
            <w:vAlign w:val="center"/>
          </w:tcPr>
          <w:p w:rsidR="00A03391" w:rsidRPr="008C4F58" w:rsidRDefault="00A03391" w:rsidP="007B0817">
            <w:pPr>
              <w:widowControl/>
              <w:adjustRightInd w:val="0"/>
              <w:snapToGrid w:val="0"/>
              <w:jc w:val="left"/>
              <w:rPr>
                <w:rFonts w:ascii="黑体" w:eastAsia="黑体" w:hAnsi="黑体" w:cs="宋体" w:hint="eastAsia"/>
                <w:bCs/>
                <w:color w:val="000000"/>
                <w:kern w:val="0"/>
              </w:rPr>
            </w:pPr>
          </w:p>
        </w:tc>
        <w:tc>
          <w:tcPr>
            <w:tcW w:w="840" w:type="dxa"/>
            <w:vMerge/>
            <w:vAlign w:val="center"/>
          </w:tcPr>
          <w:p w:rsidR="00A03391" w:rsidRPr="008C4F58" w:rsidRDefault="00A03391" w:rsidP="007B0817">
            <w:pPr>
              <w:widowControl/>
              <w:adjustRightInd w:val="0"/>
              <w:snapToGrid w:val="0"/>
              <w:jc w:val="left"/>
              <w:rPr>
                <w:rFonts w:ascii="黑体" w:eastAsia="黑体" w:hAnsi="黑体" w:cs="宋体" w:hint="eastAsia"/>
                <w:bCs/>
                <w:color w:val="000000"/>
                <w:kern w:val="0"/>
              </w:rPr>
            </w:pPr>
          </w:p>
        </w:tc>
        <w:tc>
          <w:tcPr>
            <w:tcW w:w="1316" w:type="dxa"/>
            <w:vMerge/>
            <w:vAlign w:val="center"/>
          </w:tcPr>
          <w:p w:rsidR="00A03391" w:rsidRPr="008C4F58" w:rsidRDefault="00A03391" w:rsidP="007B0817">
            <w:pPr>
              <w:widowControl/>
              <w:adjustRightInd w:val="0"/>
              <w:snapToGrid w:val="0"/>
              <w:jc w:val="left"/>
              <w:rPr>
                <w:rFonts w:ascii="黑体" w:eastAsia="黑体" w:hAnsi="黑体" w:cs="宋体" w:hint="eastAsia"/>
                <w:bCs/>
                <w:color w:val="000000"/>
                <w:kern w:val="0"/>
              </w:rPr>
            </w:pPr>
          </w:p>
        </w:tc>
        <w:tc>
          <w:tcPr>
            <w:tcW w:w="812" w:type="dxa"/>
            <w:vMerge/>
            <w:vAlign w:val="center"/>
          </w:tcPr>
          <w:p w:rsidR="00A03391" w:rsidRPr="008C4F58" w:rsidRDefault="00A03391" w:rsidP="007B0817">
            <w:pPr>
              <w:widowControl/>
              <w:adjustRightInd w:val="0"/>
              <w:snapToGrid w:val="0"/>
              <w:jc w:val="left"/>
              <w:rPr>
                <w:rFonts w:ascii="黑体" w:eastAsia="黑体" w:hAnsi="黑体" w:cs="宋体" w:hint="eastAsia"/>
                <w:bCs/>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直接取消审批</w:t>
            </w:r>
          </w:p>
        </w:tc>
        <w:tc>
          <w:tcPr>
            <w:tcW w:w="546" w:type="dxa"/>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审批改为备案</w:t>
            </w:r>
          </w:p>
        </w:tc>
        <w:tc>
          <w:tcPr>
            <w:tcW w:w="573" w:type="dxa"/>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实行告知承诺</w:t>
            </w:r>
          </w:p>
        </w:tc>
        <w:tc>
          <w:tcPr>
            <w:tcW w:w="546" w:type="dxa"/>
            <w:shd w:val="clear" w:color="auto" w:fill="auto"/>
            <w:vAlign w:val="center"/>
          </w:tcPr>
          <w:p w:rsidR="00A03391" w:rsidRPr="008C4F58" w:rsidRDefault="00A03391" w:rsidP="007B0817">
            <w:pPr>
              <w:widowControl/>
              <w:adjustRightInd w:val="0"/>
              <w:snapToGrid w:val="0"/>
              <w:jc w:val="center"/>
              <w:rPr>
                <w:rFonts w:ascii="黑体" w:eastAsia="黑体" w:hAnsi="黑体" w:cs="宋体" w:hint="eastAsia"/>
                <w:bCs/>
                <w:color w:val="000000"/>
                <w:kern w:val="0"/>
              </w:rPr>
            </w:pPr>
            <w:r w:rsidRPr="008C4F58">
              <w:rPr>
                <w:rFonts w:ascii="黑体" w:eastAsia="黑体" w:hAnsi="黑体" w:cs="宋体" w:hint="eastAsia"/>
                <w:bCs/>
                <w:color w:val="000000"/>
                <w:kern w:val="0"/>
              </w:rPr>
              <w:t>优化审批服务</w:t>
            </w:r>
          </w:p>
        </w:tc>
        <w:tc>
          <w:tcPr>
            <w:tcW w:w="2086" w:type="dxa"/>
            <w:vMerge/>
            <w:vAlign w:val="center"/>
          </w:tcPr>
          <w:p w:rsidR="00A03391" w:rsidRPr="008C4F58" w:rsidRDefault="00A03391" w:rsidP="007B0817">
            <w:pPr>
              <w:widowControl/>
              <w:adjustRightInd w:val="0"/>
              <w:snapToGrid w:val="0"/>
              <w:rPr>
                <w:rFonts w:ascii="黑体" w:eastAsia="黑体" w:hAnsi="黑体" w:cs="宋体" w:hint="eastAsia"/>
                <w:bCs/>
                <w:color w:val="000000"/>
                <w:kern w:val="0"/>
              </w:rPr>
            </w:pPr>
          </w:p>
        </w:tc>
        <w:tc>
          <w:tcPr>
            <w:tcW w:w="3835" w:type="dxa"/>
            <w:vMerge/>
            <w:vAlign w:val="center"/>
          </w:tcPr>
          <w:p w:rsidR="00A03391" w:rsidRPr="008C4F58" w:rsidRDefault="00A03391" w:rsidP="007B0817">
            <w:pPr>
              <w:widowControl/>
              <w:adjustRightInd w:val="0"/>
              <w:snapToGrid w:val="0"/>
              <w:rPr>
                <w:rFonts w:ascii="黑体" w:eastAsia="黑体" w:hAnsi="黑体" w:cs="宋体" w:hint="eastAsia"/>
                <w:bCs/>
                <w:color w:val="000000"/>
                <w:kern w:val="0"/>
              </w:rPr>
            </w:pPr>
          </w:p>
        </w:tc>
        <w:tc>
          <w:tcPr>
            <w:tcW w:w="953" w:type="dxa"/>
            <w:vMerge/>
            <w:vAlign w:val="center"/>
          </w:tcPr>
          <w:p w:rsidR="00A03391" w:rsidRPr="008C4F58" w:rsidRDefault="00A03391" w:rsidP="007B0817">
            <w:pPr>
              <w:widowControl/>
              <w:adjustRightInd w:val="0"/>
              <w:snapToGrid w:val="0"/>
              <w:jc w:val="left"/>
              <w:rPr>
                <w:rFonts w:ascii="黑体" w:eastAsia="黑体" w:hAnsi="黑体" w:cs="宋体" w:hint="eastAsia"/>
                <w:bCs/>
                <w:color w:val="000000"/>
                <w:kern w:val="0"/>
              </w:rPr>
            </w:pPr>
          </w:p>
        </w:tc>
      </w:tr>
      <w:tr w:rsidR="00A03391" w:rsidRPr="008C4F58" w:rsidTr="007B0817">
        <w:trPr>
          <w:trHeight w:val="354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教育部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实施中等及中等以下学历教育、学前教育、自学考试助学及其他文化教育的民办学校筹设审批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筹设批准书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《中华人民共和国民办教育促进法》《中华人民共和国民办教育促进法实施条例》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县级以上地方教育部门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举办实施中等及中等以下学历教育、学前教育、自学考试助学及其他文化教育的民办学校，不再向教育部门申请办理筹设审批，直接申请办理办学许可。</w:t>
            </w:r>
          </w:p>
        </w:tc>
        <w:tc>
          <w:tcPr>
            <w:tcW w:w="3835" w:type="dxa"/>
            <w:shd w:val="clear" w:color="auto" w:fill="auto"/>
            <w:vAlign w:val="center"/>
          </w:tcPr>
          <w:p w:rsidR="00A03391" w:rsidRPr="007C27B8" w:rsidRDefault="00A03391" w:rsidP="007B0817">
            <w:pPr>
              <w:widowControl/>
              <w:adjustRightInd w:val="0"/>
              <w:snapToGrid w:val="0"/>
              <w:spacing w:line="240" w:lineRule="exact"/>
              <w:rPr>
                <w:rFonts w:ascii="方正书宋_GBK" w:eastAsia="方正书宋_GBK" w:hAnsi="宋体" w:cs="宋体" w:hint="eastAsia"/>
                <w:color w:val="000000"/>
                <w:spacing w:val="-6"/>
                <w:kern w:val="0"/>
              </w:rPr>
            </w:pPr>
            <w:r w:rsidRPr="007C27B8">
              <w:rPr>
                <w:rFonts w:ascii="方正书宋_GBK" w:eastAsia="方正书宋_GBK" w:hAnsi="宋体" w:cs="宋体" w:hint="eastAsia"/>
                <w:color w:val="000000"/>
                <w:spacing w:val="-6"/>
                <w:kern w:val="0"/>
              </w:rPr>
              <w:t>1.实施“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24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2</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公安部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互联网上网服务营业场所信息网络安全审核</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批准文件</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《互联网上网服务营业场所管理条例》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省、设区的市、县级公安机关</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取消”互联网上网服务营业场所信息网络安全审核”</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1.加强部门间信息共享，市场监管部门在企业登记后及时将有关信息推送至</w:t>
            </w:r>
            <w:r>
              <w:rPr>
                <w:rFonts w:ascii="方正书宋_GBK" w:eastAsia="方正书宋_GBK" w:hAnsi="宋体" w:cs="宋体" w:hint="eastAsia"/>
                <w:color w:val="000000"/>
                <w:kern w:val="0"/>
              </w:rPr>
              <w:t>相</w:t>
            </w:r>
            <w:r w:rsidRPr="008C4F58">
              <w:rPr>
                <w:rFonts w:ascii="方正书宋_GBK" w:eastAsia="方正书宋_GBK" w:hAnsi="宋体" w:cs="宋体" w:hint="eastAsia"/>
                <w:color w:val="000000"/>
                <w:kern w:val="0"/>
              </w:rPr>
              <w:t>关公安机关，文化和旅游部门在实施互联网上网服务营业场所审批后及时将有关信息推送至同级公安机关，公安机关及时纳入监管范围。2.实施“双随机、一公开”监管，依法查处违法违规行为。3.加强信用</w:t>
            </w:r>
            <w:r w:rsidRPr="008C4F58">
              <w:rPr>
                <w:rFonts w:ascii="方正书宋_GBK" w:eastAsia="方正书宋_GBK" w:hAnsi="宋体" w:cs="宋体" w:hint="eastAsia"/>
                <w:color w:val="000000"/>
                <w:kern w:val="0"/>
              </w:rPr>
              <w:lastRenderedPageBreak/>
              <w:t>监管，建立从业人员信用档案，依法依规对失信主体实施失信惩戒。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1665"/>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3</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财政部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中介机构从事代理记账业务审批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代理记账许可证书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《中华人民共和国会计法》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县级以上地方财政部门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优化“中介机构从事代理记账业务审批”</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充分运用市场监管部门共享的代理记账中介机构登记注册信息加强监管。2.加强对代理记账行业协会的指导，提升行业自律水平。3.根据会计信息质量检查等执法工作中发现的线索，对相关代理记账中介机构实施重点监管。</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58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4</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人力资源社会保障部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民办普通、高级技工学校筹设审批</w:t>
            </w:r>
          </w:p>
        </w:tc>
        <w:tc>
          <w:tcPr>
            <w:tcW w:w="8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无</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《中华人民共和国民办教育促进法》《中华人民共和国民办教育促进法实施条例》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省级人力资源社会保障部门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举办民办普通、高级技工学校不再向人力资源社会保障部门申请办理筹设审批，直接申请办理办学许可。</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1.实施“双随机、一公开”监管，依法查处违法违规行为。2.加强日常监管，依法及时处理投诉举报。</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82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5</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从事生活垃圾（含粪便）经营性清扫、收集、运输服务审批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从事生活垃圾（含粪便）经营性清扫、收集、运输服务审批许可证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《国务院对确需保留的行政审批项目设定行政许可的决定》</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县级以上地方住房城乡建设（环境卫生）部门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取消“从事生活垃圾（含粪便）经营性清扫、收集、运输服务审批”。</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1.构建生活垃圾经营性服务全过程监管体系，强化日常监管。2.推动生活垃圾无害化处理设施建设和运营信息公开。</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3195"/>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6</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商务部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对外贸易经营者备案登记</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对外贸易经营者备案登记表</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《中华人民共和国对外贸易法》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县级以上地方商务部门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取消“对外贸易经营者备案登记”。</w:t>
            </w:r>
          </w:p>
        </w:tc>
        <w:tc>
          <w:tcPr>
            <w:tcW w:w="3835" w:type="dxa"/>
            <w:shd w:val="clear" w:color="auto" w:fill="auto"/>
            <w:vAlign w:val="center"/>
          </w:tcPr>
          <w:p w:rsidR="00A03391" w:rsidRPr="008C4F58" w:rsidRDefault="00A03391" w:rsidP="007B0817">
            <w:pPr>
              <w:widowControl/>
              <w:adjustRightInd w:val="0"/>
              <w:snapToGrid w:val="0"/>
              <w:spacing w:line="240" w:lineRule="exac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由贸易试验区实施“双随机、一公开”监管等事中事后监管，发现违法违规行为的，要依法予以查处并公开结果，对严重违法违规的企业依法联合实施市场禁入措施。3.加强信用监管，建立经营主体信用记录，依法依规实施失信惩戒。4.支持行业协会发挥自律作用。</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1905"/>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7</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市场监管总局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承担国家法定计量检定机构任务授权审批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计量授权证书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w:t>
            </w:r>
            <w:r w:rsidRPr="008C4F58">
              <w:rPr>
                <w:rFonts w:ascii="方正书宋_GBK" w:eastAsia="方正书宋_GBK" w:hAnsi="宋体" w:cs="宋体" w:hint="eastAsia"/>
                <w:color w:val="000000"/>
                <w:kern w:val="0"/>
              </w:rPr>
              <w:br/>
              <w:t>共和国计量</w:t>
            </w:r>
            <w:r w:rsidRPr="008C4F58">
              <w:rPr>
                <w:rFonts w:ascii="方正书宋_GBK" w:eastAsia="方正书宋_GBK" w:hAnsi="宋体" w:cs="宋体" w:hint="eastAsia"/>
                <w:color w:val="000000"/>
                <w:kern w:val="0"/>
              </w:rPr>
              <w:br/>
              <w:t>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县级以上地方市场监管部门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承担国家法定计量检定机构任务授权审批”。</w:t>
            </w:r>
          </w:p>
        </w:tc>
        <w:tc>
          <w:tcPr>
            <w:tcW w:w="3835" w:type="dxa"/>
            <w:shd w:val="clear" w:color="auto" w:fill="auto"/>
            <w:vAlign w:val="center"/>
          </w:tcPr>
          <w:p w:rsidR="00A03391" w:rsidRPr="008C4F58" w:rsidRDefault="00A03391" w:rsidP="007B0817">
            <w:pPr>
              <w:widowControl/>
              <w:adjustRightInd w:val="0"/>
              <w:snapToGrid w:val="0"/>
              <w:spacing w:line="240" w:lineRule="exac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违法违规行为的，要依法予以查处并公开结果。2.对通过投诉举报等渠道反映问题多的机构实施重点监管。3.加强信用监管，依法向社会公布承担国家法定计量检定机构信用状况，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市市场监管局、济南高新区管委会</w:t>
            </w:r>
          </w:p>
        </w:tc>
      </w:tr>
      <w:tr w:rsidR="00A03391" w:rsidRPr="008C4F58" w:rsidTr="007B0817">
        <w:trPr>
          <w:trHeight w:val="192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8</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国家药监局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药品零售企业筹建审批</w:t>
            </w:r>
          </w:p>
        </w:tc>
        <w:tc>
          <w:tcPr>
            <w:tcW w:w="8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无</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《中华人民共和国药品管理法实施条例》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设区的县级药监部门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开办药品零</w:t>
            </w:r>
            <w:r>
              <w:rPr>
                <w:rFonts w:ascii="方正书宋_GBK" w:eastAsia="方正书宋_GBK" w:hAnsi="宋体" w:cs="宋体" w:hint="eastAsia"/>
                <w:color w:val="000000"/>
                <w:kern w:val="0"/>
              </w:rPr>
              <w:t>售</w:t>
            </w:r>
            <w:r w:rsidRPr="008C4F58">
              <w:rPr>
                <w:rFonts w:ascii="方正书宋_GBK" w:eastAsia="方正书宋_GBK" w:hAnsi="宋体" w:cs="宋体" w:hint="eastAsia"/>
                <w:color w:val="000000"/>
                <w:kern w:val="0"/>
              </w:rPr>
              <w:t>企业不再向药监部门申请办理筹建审批，直接申请办理药品经营许可。</w:t>
            </w:r>
          </w:p>
        </w:tc>
        <w:tc>
          <w:tcPr>
            <w:tcW w:w="3835" w:type="dxa"/>
            <w:shd w:val="clear" w:color="auto" w:fill="auto"/>
            <w:vAlign w:val="center"/>
          </w:tcPr>
          <w:p w:rsidR="00A03391" w:rsidRPr="008C4F58" w:rsidRDefault="00A03391" w:rsidP="007B0817">
            <w:pPr>
              <w:widowControl/>
              <w:adjustRightInd w:val="0"/>
              <w:snapToGrid w:val="0"/>
              <w:spacing w:line="240" w:lineRule="exac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1.全面落实新修订的药品管理法规定，进一步完善有关部门规章内容，细化监管要求，推动属地监管部门强化监督检查，落实监管责任。2.落实</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四个最严</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要求，制定年度监管计划，突出监管重点，强化风险控制。3.通过日常监管督促企业不断完善、改进质量管理体系，持续合法合规经营。4.对违法违规行为，依法严厉查处并公开曝光。</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p>
        </w:tc>
      </w:tr>
      <w:tr w:rsidR="00A03391" w:rsidRPr="008C4F58" w:rsidTr="007B0817">
        <w:trPr>
          <w:trHeight w:val="330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9</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教育部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实施自学考试助学的民办学校设立、变更和终止审批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中华人民共和国民办学校办学许可证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《中华人民共和国民办教育促进法》《中华人民共和国民办教育促进法实施条例》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县级以上地方教育部门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对实施自学考试助学的民办学校，取消办学许可，改为备案管理。</w:t>
            </w:r>
          </w:p>
        </w:tc>
        <w:tc>
          <w:tcPr>
            <w:tcW w:w="3835" w:type="dxa"/>
            <w:shd w:val="clear" w:color="auto" w:fill="auto"/>
            <w:vAlign w:val="center"/>
          </w:tcPr>
          <w:p w:rsidR="00A03391" w:rsidRPr="00A73AED" w:rsidRDefault="00A03391" w:rsidP="007B0817">
            <w:pPr>
              <w:widowControl/>
              <w:adjustRightInd w:val="0"/>
              <w:snapToGrid w:val="0"/>
              <w:rPr>
                <w:rFonts w:ascii="方正书宋_GBK" w:eastAsia="方正书宋_GBK" w:hAnsi="宋体" w:cs="宋体" w:hint="eastAsia"/>
                <w:color w:val="000000"/>
                <w:spacing w:val="-4"/>
                <w:kern w:val="0"/>
              </w:rPr>
            </w:pPr>
            <w:r w:rsidRPr="00A73AED">
              <w:rPr>
                <w:rFonts w:ascii="方正书宋_GBK" w:eastAsia="方正书宋_GBK" w:hAnsi="宋体" w:cs="宋体" w:hint="eastAsia"/>
                <w:color w:val="000000"/>
                <w:spacing w:val="-4"/>
                <w:kern w:val="0"/>
              </w:rPr>
              <w:t>1.实施“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w:t>
            </w:r>
            <w:r w:rsidRPr="00A73AED">
              <w:rPr>
                <w:rFonts w:ascii="方正书宋_GBK" w:eastAsia="方正书宋_GBK" w:hAnsi="宋体" w:cs="宋体" w:hint="eastAsia"/>
                <w:color w:val="000000"/>
                <w:spacing w:val="-4"/>
                <w:kern w:val="0"/>
              </w:rPr>
              <w:lastRenderedPageBreak/>
              <w:t>对其今后在民办教育领域的许可申请实施重点监管。4.健全联合执法机制，通过跨部门的实时数据对接和信息共享，及时掌握和研判民办教育领域出现的新问题，积极主动予以应对。</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325"/>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10</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公安部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公章刻制业特种行业许可证核发</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公章刻制业特种行业许可证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《国务院对确需保留的行政审批项目设定行政许可的决定》《印铸刻字业暂行管理规则》</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设区的市、县级公安机关</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公章刻制业特种行业许可证核发”改为备案管理。</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1.加强对备案内容真实性的核查，发现未依法备案、提供虚假备案材料、不符合法定条件的，依法</w:t>
            </w:r>
            <w:r>
              <w:rPr>
                <w:rFonts w:ascii="方正书宋_GBK" w:eastAsia="方正书宋_GBK" w:hAnsi="宋体" w:cs="宋体" w:hint="eastAsia"/>
                <w:color w:val="000000"/>
                <w:kern w:val="0"/>
              </w:rPr>
              <w:t>予以</w:t>
            </w:r>
            <w:r w:rsidRPr="008C4F58">
              <w:rPr>
                <w:rFonts w:ascii="方正书宋_GBK" w:eastAsia="方正书宋_GBK" w:hAnsi="宋体" w:cs="宋体" w:hint="eastAsia"/>
                <w:color w:val="000000"/>
                <w:kern w:val="0"/>
              </w:rPr>
              <w:t>处理。2.实施“双随机、一公开”监管，发现违法违规行为的，要依法予以查处并公开结果。3.加强跨部门联合监管和信用监管，依法依规对失信主体实施失信惩戒。4.加强公章刻制备案管理，督促公章刻制企业严格落实公章刻制备案管理要求，及时规范上传报送公章刻制备案信息。</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市公安局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1897"/>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11</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商务部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从事拍卖业务许可</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拍卖经营批准证书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《中华人民共和国拍卖法》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省级商务部门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从事拍卖业务许可</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改为备案管理。</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1.加强备案管理，督促有关企业按规定报送信息。对未按规定备案或者备案信息不实的，会同有关部门依法调查处理并予以纠正。2.完善监管措施，加强对拍卖师的监督管理。</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市行政审批服务局、济南高新区管委会</w:t>
            </w:r>
          </w:p>
        </w:tc>
      </w:tr>
      <w:tr w:rsidR="00A03391" w:rsidRPr="008C4F58" w:rsidTr="007B0817">
        <w:trPr>
          <w:trHeight w:val="2441"/>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12</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国家卫生健康委</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社会办医疗机构乙类大型医用设备配置许可</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乙类大型医用设备配置许可证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《医疗器械监督管理条例》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省级卫生健康部门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取消“社会办医疗机构乙类大型医用设备配置许可”，改为备案管理，不受大型医用设备配置规划限制。</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加强对医疗机构执业活动的监管，对有不良信用记录的医疗机构，提高监督检查频次，发现违法违规行为的，要依法予以查处并公开结果。2.加强信用监管，依法向社会公布有关医疗机构信用状况，对严重失信主体依法实施行业禁入措施。3.依法及时处理投诉举报。4.加强行业自律。</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市卫生健康委</w:t>
            </w:r>
          </w:p>
        </w:tc>
      </w:tr>
      <w:tr w:rsidR="00A03391" w:rsidRPr="008C4F58" w:rsidTr="007B0817">
        <w:trPr>
          <w:trHeight w:val="216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13</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国家卫生健康委</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音乐厅、展览馆、博物馆、美术馆、图书馆、书店、录像厅（室）的公共场</w:t>
            </w:r>
            <w:r w:rsidRPr="008C4F58">
              <w:rPr>
                <w:rFonts w:ascii="方正书宋_GBK" w:eastAsia="方正书宋_GBK" w:hAnsi="宋体" w:cs="宋体" w:hint="eastAsia"/>
                <w:color w:val="000000"/>
                <w:kern w:val="0"/>
              </w:rPr>
              <w:lastRenderedPageBreak/>
              <w:t>所卫生许可</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卫生许可证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《公共场所卫生管理条例》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县级以上地方卫生健康部门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对音乐厅、展览馆、博物馆、美术馆、图书馆、书店、录像厅（室），取消“公共场所卫生许可”，改为备案管理。</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1.实施“双随机、一公开”监管，发现违法违规行为的，要依法予以查处并公开结果。2.畅通投诉举报渠道，依法及时处理投诉举报。</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162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14</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国家药监局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药品互联网信息服务审批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互联网药品信息服务资格证书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《互联网信息服务管理办法》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省级药监部门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取消“药品互联网信息服务审批”，改为备案管理。</w:t>
            </w:r>
          </w:p>
        </w:tc>
        <w:tc>
          <w:tcPr>
            <w:tcW w:w="3835" w:type="dxa"/>
            <w:shd w:val="clear" w:color="auto" w:fill="auto"/>
            <w:vAlign w:val="center"/>
          </w:tcPr>
          <w:p w:rsidR="00A03391" w:rsidRPr="00E3788C" w:rsidRDefault="00A03391" w:rsidP="007B0817">
            <w:pPr>
              <w:widowControl/>
              <w:adjustRightInd w:val="0"/>
              <w:snapToGrid w:val="0"/>
              <w:rPr>
                <w:rFonts w:ascii="方正书宋_GBK" w:eastAsia="方正书宋_GBK" w:hAnsi="宋体" w:cs="宋体" w:hint="eastAsia"/>
                <w:color w:val="000000"/>
                <w:spacing w:val="-6"/>
                <w:kern w:val="0"/>
              </w:rPr>
            </w:pPr>
            <w:r w:rsidRPr="00E3788C">
              <w:rPr>
                <w:rFonts w:ascii="方正书宋_GBK" w:eastAsia="方正书宋_GBK" w:hAnsi="宋体" w:cs="宋体" w:hint="eastAsia"/>
                <w:color w:val="000000"/>
                <w:spacing w:val="-6"/>
                <w:kern w:val="0"/>
              </w:rPr>
              <w:t>1.建立完善药品网络销售规章制度，加强药品网络销售监测，提升监管效率。2.对各类违法违规网络销售药品行为依法予以查处和严厉打击。3.违法违规行为涉及通信管理等其他部门的，及时移交有关部门处理；涉嫌犯罪的，及时移送公安机关查处。</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市市场监管局</w:t>
            </w:r>
          </w:p>
        </w:tc>
      </w:tr>
      <w:tr w:rsidR="00A03391" w:rsidRPr="008C4F58" w:rsidTr="007B0817">
        <w:trPr>
          <w:trHeight w:val="1815"/>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15</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国家药监局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医疗器械互联网信息服务审批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互联网药品信息服务资格证书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《互联网信息服务管理办法》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省级药监部门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取消“医疗器械互联网信息服务审批”，改为备案管理。</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加强线上线下监管，严厉打击提供不真实医疗器械互联网信息服务、利用网络违规销售医疗器械等行为，对发现的违法违规行为依法予以查处，及时公开处罚结果。2.违法违规行为涉及通信管理等其他部门的，及时移交有关部门处理；涉嫌犯罪的，及时移送公安机关查处。</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市市场监管局</w:t>
            </w:r>
          </w:p>
        </w:tc>
      </w:tr>
      <w:tr w:rsidR="00A03391" w:rsidRPr="008C4F58" w:rsidTr="007B0817">
        <w:trPr>
          <w:trHeight w:val="276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16</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人力资源社会保障部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劳务派遣经营许可</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劳务派遣经营许可证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《中华人民共和国劳动合同法》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县级以上地方人力资源社会保障部门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对以告知承诺方式取得经营许可的劳务派遣单位，加强对其承诺真实性的核查，发现虚假承诺或者承诺严重不实的，要依法依规予以处理。2.加强劳动保障监察执法，实施“双随机，一公开”监管，对取得劳务派遣许可证满一年但未报告年度经营情况或未开展经营活动的劳务派遣单位定期开展检查。3.对劳务派遣单位进行信用评价、风险评估或者黑名单管理，依法向社会公布劳务派遣单位信用状况，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3938"/>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17</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房地产开发企业二级资质核定</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房地产开发企业资质证书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《中华人民共和国城市房地产管理法》《城市房地产开发经营管理条例》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县级以上地方住房城乡建设部门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1.实施“双随机、一公开”监管，对企业履行承诺情况进行监督检查，依法查处违法违规行为并公开结果。2.加强信用监管，依法依规对失信主体实施失信惩戒。3.发挥行业协会自律作用。</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中国（山东）自贸试验区济南片区管委会</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3392"/>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18</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建筑业企业资质认定（部分施工总承包乙级、部分专业承包，燃气燃烧器具安装维修企业）</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建筑业企业资质证书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《中华人民共和国建筑法》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设区的市级住房城乡建设部门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发现企业不符合承诺条件开展经营的，责令限期整改，逾期不整改或整改后仍达不到要求的，依法撤销许可证件。2.实施“双随机、一公开”监管，对在建工程项目实施重点监管，依法查处违法违规行为并公开结果。3.加强信用监管，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市行政审批服务局、济南高新区管委会</w:t>
            </w:r>
          </w:p>
        </w:tc>
      </w:tr>
      <w:tr w:rsidR="00A03391" w:rsidRPr="008C4F58" w:rsidTr="007B0817">
        <w:trPr>
          <w:trHeight w:val="216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19</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建设工程勘察企业资质认定（乙级）</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工程勘察资质证书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《中华人民共和国建筑法》《建设工程勘察设计管理条例》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设区的市级住房城乡建设部门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发现企业不符合承诺条件开展经营的，责令限期整改，逾期不整改或整改后仍达不到要求的，依法撤销许可证件。2.实施“双随机、一公开”监管，对在建工程项目实施重点监管，依法查处违法违规行为并公开结果。3.加强信用监管，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中国（山东）自贸试验区济南片区管委会</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lastRenderedPageBreak/>
              <w:t>济南高新区管委会</w:t>
            </w:r>
          </w:p>
        </w:tc>
      </w:tr>
      <w:tr w:rsidR="00A03391" w:rsidRPr="008C4F58" w:rsidTr="007B0817">
        <w:trPr>
          <w:trHeight w:val="216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20</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建设工程设计企业资质认定（部分乙级）</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工程设计资质证书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《中华人民共和国建筑法》《建设工程勘察设计管理条例》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设区的市级住房城乡建设部门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发现企业不符合承诺条件开展经营的，责令限期整改，逾期不整改或整改后仍达不到要求的，依法撤销许可证件。2.实施“双随机、一公开”监管，对在建工程项目实施重点监管，依法查处违法违规行为并公开结果。3.加强信用监管，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中国（山东）自贸试验区济南片区管委会</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3225"/>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21</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工程监理企业资质认定（房屋建筑工程市政公用工程专业甲级）</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工程监理资质证书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《中华人民共和国建筑法》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住房城乡建设部、省级住房城乡建设部门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发现企业不符合承诺条件开展经营的，责令限期整改，逾期不整改或整改后仍达不到要求的，依法撤销许可证件。2.实施“双随机、一公开”监管，对在建工程项目实施重点监管，依法查处违法违规行为并公开结果。3.加强信用监管，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p>
        </w:tc>
      </w:tr>
      <w:tr w:rsidR="00A03391" w:rsidRPr="008C4F58" w:rsidTr="007B0817">
        <w:trPr>
          <w:trHeight w:val="4231"/>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22</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工程监理企业资质认定（专业乙级）</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工程监理资质证书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《中华人民共和国建筑法》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省级、设区的市级住房城乡建设部门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发现企业不符合承诺条件开展经营的，责令限期整改，逾期不整改或整改后仍达不到要求的，依法撤销许可证件。2.实施“双随机、一公开”监管，对在建工程项目实施重点监管，依法查处违法违规行为并公开结果。3.加强信用监管，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中国（山东）自贸试验区济南片区管委会</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4091"/>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23</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住房城乡建设部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建筑施工企业安全生产许可证核发</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建筑施工企业安全生产许可证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《安全生产许可证条例》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省级住房城乡建设部门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1.发现企业不符合承诺条件开展经营的，责令限期整改，逾期不整改或整改后仍达不到要求的，依法撤销许可证件。2.对企业安全生产管理不到位造成事故的，加大行政处罚力度。</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中国（山东）自贸试验区济南片区管委会</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3363"/>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24</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交通运输部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经营国内船舶管理业务审批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国内船舶管理业务经营许可证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《国内水路运输管理条例》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省、设区的市级水路运输部门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对诚信状况差、投诉举报多、受处罚警告多的经营主体提高抽查比例。2.加强对国内船舶管理企业的年度书面检查，发现不具备经营许可条件的，要依法及时予以处理。3.对不符合承诺条件开展经营的，责令限期整改，逾期不整改或整改后仍达不到要求的，依法撤销许可证件，且在规定期限内不得再通过告知承诺方式办理该项审批。</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市交通运输局</w:t>
            </w:r>
          </w:p>
        </w:tc>
      </w:tr>
      <w:tr w:rsidR="00A03391" w:rsidRPr="008C4F58" w:rsidTr="007B0817">
        <w:trPr>
          <w:trHeight w:val="2442"/>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25</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交通运输部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建设港口设施使用非深水岸线审批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批准文件</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《中华人民共和国港口法》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县级以上地方交通运输（港口）部门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加强信用监管，将港口岸线使用有关信用信息纳入相关信用信息共享平台并向社会公布。</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市行政审批服务局、济南高新区管委会</w:t>
            </w:r>
          </w:p>
        </w:tc>
      </w:tr>
      <w:tr w:rsidR="00A03391" w:rsidRPr="008C4F58" w:rsidTr="007B0817">
        <w:trPr>
          <w:trHeight w:val="2413"/>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26</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农业农村部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食用菌菌种生产经营许可证核发</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食用菌菌种生产经营许可证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《中华人民共和国种子法》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县级以上地方农业农村部门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1.实施“双随机、一公开”监管，严肃查处虚假承诺行为。2.加强信用监管，依法向社会公布种业企业信用状况，依法依规对失信主体实施失信惩戒。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w:t>
            </w:r>
            <w:r>
              <w:rPr>
                <w:rFonts w:ascii="方正书宋_GBK" w:eastAsia="方正书宋_GBK" w:hAnsi="宋体" w:cs="宋体" w:hint="eastAsia"/>
                <w:color w:val="000000"/>
                <w:kern w:val="0"/>
              </w:rPr>
              <w:t>政府，</w:t>
            </w:r>
            <w:r w:rsidRPr="008C4F58">
              <w:rPr>
                <w:rFonts w:ascii="方正书宋_GBK" w:eastAsia="方正书宋_GBK" w:hAnsi="宋体" w:cs="宋体" w:hint="eastAsia"/>
                <w:color w:val="000000"/>
                <w:kern w:val="0"/>
              </w:rPr>
              <w:t>济南高新区管委会</w:t>
            </w:r>
          </w:p>
        </w:tc>
      </w:tr>
      <w:tr w:rsidR="00A03391" w:rsidRPr="008C4F58" w:rsidTr="007B0817">
        <w:trPr>
          <w:trHeight w:val="2524"/>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27</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农业农村部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种畜禽生产经营许可</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种畜禽生产经营许可证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《中华人民共和国畜牧法》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县级以上地方农业农村部门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1.实施“双随机、一公开”监管，严肃查处虚假承诺行为。2.加强信用监管，依法向社会公布种业企业信用状况，依法依规对失信主体实施失信惩戒。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442"/>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28</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农业农村部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蚕种生产经营许可证核发</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蚕种生产经营许可证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《中华人民共和国畜牧法》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县级以上地方农业农村部门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w:t>
            </w:r>
            <w:r w:rsidRPr="008C4F58">
              <w:rPr>
                <w:rFonts w:ascii="方正书宋_GBK" w:eastAsia="方正书宋_GBK" w:hAnsi="宋体" w:cs="宋体" w:hint="eastAsia"/>
                <w:color w:val="000000"/>
                <w:kern w:val="0"/>
              </w:rPr>
              <w:lastRenderedPageBreak/>
              <w:t>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实施“双随机、一公开”监管，加强对企业承诺内容真实性的核查，发现虚假承诺或者承诺严重不实的，要依法予以处理。2.加强信用监管，依法向社会公布种业企业信用状况，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w:t>
            </w:r>
            <w:r w:rsidRPr="008C4F58">
              <w:rPr>
                <w:rFonts w:ascii="方正书宋_GBK" w:eastAsia="方正书宋_GBK" w:hAnsi="宋体" w:cs="宋体" w:hint="eastAsia"/>
                <w:color w:val="000000"/>
                <w:kern w:val="0"/>
              </w:rPr>
              <w:lastRenderedPageBreak/>
              <w:t>区管委会</w:t>
            </w:r>
          </w:p>
        </w:tc>
      </w:tr>
      <w:tr w:rsidR="00A03391" w:rsidRPr="008C4F58" w:rsidTr="007B0817">
        <w:trPr>
          <w:trHeight w:val="2413"/>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29</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农业农村部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生猪定点屠宰厂（场）设置审查</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生猪定点屠宰证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《生猪屠宰管理条例》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设区的市级人民政府</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市行政审批服务局、济南高新区管委会</w:t>
            </w:r>
          </w:p>
        </w:tc>
      </w:tr>
      <w:tr w:rsidR="00A03391" w:rsidRPr="008C4F58" w:rsidTr="007B0817">
        <w:trPr>
          <w:trHeight w:val="2566"/>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30</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农业农村部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生鲜乳准运证明核发</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生鲜乳准运证明</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《乳品质量安全监督管理条例》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县级农业农村（畜牧兽医）部门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1.实施“双随机、一公开”监管，发现违法违规行为的，要依法予以查处并公开结果。2.加强对生鲜乳运输车辆的监管，将车辆全部纳入监管监测信息系统，实时掌握运营情况。</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414"/>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31</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农业农村部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兽药经营许可证核发（非生物制品类）</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兽药经营许可证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《兽药管理条例》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设区的市、县级农业农村部门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对以告知承诺方式取得经营许可证的企业，加强对其承诺内容真实性的核查，发现虚假承诺或承诺严重不实的，要依法予以处理。2.实施“双随机、一公开”监管，对风险等级高、投诉举报多的企业增加抽检数量和频次，实施重点监管。</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413"/>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32</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农业农村部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动物诊疗许可证核发</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动物诊疗许可证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《中华人民共和国动物防疫法》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县级以上地方农业农村部门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违法违规行为的，要依法予以查处并公开结果。2.对以告知承诺方式取得经营许可证的企业，加强对其承诺内容真实性的核查，发现虚假承诺或者承诺严重不实的，要依法予以处理。</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441"/>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33</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农业农村部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水产苗种场（不含原种场）的水产苗种生产许可证核发</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水产苗种生产许可证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《中华人民共和国渔业法》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设区的市、县级农业农村（渔业）部门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w:t>
            </w:r>
            <w:r w:rsidRPr="008C4F58">
              <w:rPr>
                <w:rFonts w:ascii="方正书宋_GBK" w:eastAsia="方正书宋_GBK" w:hAnsi="宋体" w:cs="宋体" w:hint="eastAsia"/>
                <w:color w:val="000000"/>
                <w:kern w:val="0"/>
              </w:rPr>
              <w:lastRenderedPageBreak/>
              <w:t>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1.加强对企业承诺内容真实性的核查，发现虚假承诺或者承诺严重不实的，要依法予以处理。2.实施“双随机、一公开”监管，及时处理投诉举报，依法查处违法违规行为。3.加强信用监管。</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w:t>
            </w:r>
            <w:r w:rsidRPr="008C4F58">
              <w:rPr>
                <w:rFonts w:ascii="方正书宋_GBK" w:eastAsia="方正书宋_GBK" w:hAnsi="宋体" w:cs="宋体" w:hint="eastAsia"/>
                <w:color w:val="000000"/>
                <w:kern w:val="0"/>
              </w:rPr>
              <w:lastRenderedPageBreak/>
              <w:t>区管委会</w:t>
            </w:r>
          </w:p>
        </w:tc>
      </w:tr>
      <w:tr w:rsidR="00A03391" w:rsidRPr="008C4F58" w:rsidTr="007B0817">
        <w:trPr>
          <w:trHeight w:val="247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34</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商务部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对外劳务合作经营资格核准</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对外劳务合作经营资格证书</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《中华人民共和国对外贸易法》《对外劳务合作管理条例》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省、设区的市级商务部门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1.实施“双随机、一公开”监管，发现违法违规行为的，要依法予以查处并公开结果。2.支持行业协会发挥自律作用。</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p>
        </w:tc>
      </w:tr>
      <w:tr w:rsidR="00A03391" w:rsidRPr="008C4F58" w:rsidTr="007B0817">
        <w:trPr>
          <w:trHeight w:val="2483"/>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35</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文化和旅游部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旅行社设立许可</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旅行社业务经营许可证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《中华人民共和国旅游法》《旅行社条例》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省、设区的市级文化和旅游部门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1.实施“双随机、一公开”监管，发现未经许可经营旅行社业务，出租、出借、转让业务经营许可证等违法违规行为的，要依法予以查处并公开结果。2.加强信用监管，依法依规对失信主体实施失信惩戒。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p>
        </w:tc>
      </w:tr>
      <w:tr w:rsidR="00A03391" w:rsidRPr="008C4F58" w:rsidTr="007B0817">
        <w:trPr>
          <w:trHeight w:val="2412"/>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36</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国家卫生健康委</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生产用于传染病防治的消毒产品的单位审批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消毒产品生产企业卫生许可证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《中华人民共和国传染病防治法》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省级卫生健康部门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1.实施“双随机、一公开”监管，发现违法违规行为的，要依法予以查处并公开结果。2.开展消毒产品生产企业分类监督、综合评价工作。</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市行政审批服务局、济南高新区管委会</w:t>
            </w:r>
          </w:p>
        </w:tc>
      </w:tr>
      <w:tr w:rsidR="00A03391" w:rsidRPr="008C4F58" w:rsidTr="007B0817">
        <w:trPr>
          <w:trHeight w:val="2568"/>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37</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国家卫生健康委</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麻醉药品和第一类精神药品购用许可</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麻醉药品和第一类精神药品购用印鉴卡</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《麻醉药品和精神药品管理条例》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设区的市级卫生健康部门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通过医疗机构电子化注册系统，及时掌握医疗机构登记注册信息。2.继续推行印鉴卡电子化管理，及时掌握麻醉药品和第一类精神药品采购和使用量等信息。3.通过医疗机构合理用药考核工作，对麻醉药品和第一类精神药品的管理加强监督检查和指导。</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市卫生健康委、济南高新区管委会</w:t>
            </w:r>
          </w:p>
        </w:tc>
      </w:tr>
      <w:tr w:rsidR="00A03391" w:rsidRPr="008C4F58" w:rsidTr="007B0817">
        <w:trPr>
          <w:trHeight w:val="2427"/>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38</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应急管理部</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危险化学品经营（无储存）许可证核发</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危险化学品经营许可证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《危险化学品安全管理条例》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设区的市县级应急管理部门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w:t>
            </w:r>
            <w:r w:rsidRPr="008C4F58">
              <w:rPr>
                <w:rFonts w:ascii="方正书宋_GBK" w:eastAsia="方正书宋_GBK" w:hAnsi="宋体" w:cs="宋体" w:hint="eastAsia"/>
                <w:color w:val="000000"/>
                <w:kern w:val="0"/>
              </w:rPr>
              <w:lastRenderedPageBreak/>
              <w:t>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1.实施“双随机、一公开”监管，发现违法违规行为的，要依法予以查处并公开结果。2.加强信用监管依法向社会公布危险化学品经营企业信用状况，依法依规对失信主体实施失信惩戒。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市应急局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398"/>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39</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市场监管总局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食品生产许可（低风险食品）</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食品生产许可证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《中华人民共和国食品安全法》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县级以上地方市场监管部门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在发放许可证后30个工作日内对食品生产主体实施监督检查，对检查发现不能保证食品安全的企业撤销食品生产许可，对违法违规企业依法予以查处。</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216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40</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广电总局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广播电视视频点播业务（乙种）审批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广播电视视频点播业务许可证（乙种）</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《国务院对确需保留的行政审批项目设定行政许可的决定》</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省级广电部门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属地广电部门切实履行管理职责，采取有效措施防止违法违规内容播出，实施“双随机、一公开”监管，发现违法违规行为的，要依法予以查处并公开结果。2.通过实地检查、广播电视监测系统监测等方式，对广播电视视频点播单位业务开展情况及播出内容进行监测监看。3.依法及时处理</w:t>
            </w:r>
            <w:r w:rsidRPr="008C4F58">
              <w:rPr>
                <w:rFonts w:ascii="方正书宋_GBK" w:eastAsia="方正书宋_GBK" w:hAnsi="宋体" w:cs="宋体" w:hint="eastAsia"/>
                <w:color w:val="000000"/>
                <w:kern w:val="0"/>
              </w:rPr>
              <w:lastRenderedPageBreak/>
              <w:t>投诉举报，对投诉举报等渠道反映问题多的单位实施重点监管。</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1575"/>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41</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广电总局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广播电视节目制作经营单位设立审批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广播电视节目制作经营许可证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《广播电视管理条例》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广电总局；省级广电部门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通过审核股权构成、加强日常监听监看、受理群众举报等途径，对企业经营情况进行监管。发现企业不符合承诺条件开展经营的，责令限期整改，逾期不整改或整改后仍达不到要求的，依法撤销许可证件。</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1920"/>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42</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体育总局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经营高危险性体育项目许可</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经营高危险性体育项目许可证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《全民健身条例》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县级以上地方体育部门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违法违规行为的，要依法予以查处并公开结果。2.建立健全跨区域、跨层级、跨部门协同监管制度，推进联合执法。3.加强信用监管，将有严重违法违规行为的机构列入黑名单，依法依规对相关经营主体和从业人员实施信用约束和失信惩戒。</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3085"/>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43</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新闻出版署</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出版物零售个体工商户设立、变更审批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出版物经营许可证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《出版管理条例》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县级新闻出版部门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实施“双随机、一公开”监管，发现违法违规行为的，要依法予以查处并公开结果。2.发现企业不符合承诺条件开展经营的，责令限期整改，逾期不整改或整改后仍达不到要求的，依法撤销许可证件。3.依法及时处理投诉举报。</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济南高新区管委会</w:t>
            </w:r>
          </w:p>
        </w:tc>
      </w:tr>
      <w:tr w:rsidR="00A03391" w:rsidRPr="008C4F58" w:rsidTr="007B0817">
        <w:trPr>
          <w:trHeight w:val="4174"/>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44</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中国气象局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升放无人驾驶自由气球、系留气球单位资质认定</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升放气球资质证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《国务院对确需保留的行政审批项目设定行政许可的决定》</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省、设区的市级气象主管机构</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加强对承诺内容真实性的核查，发现取得资质的单位不符合承诺条件开展经营的，责令限期整改，逾期不整改或整改后仍达不到要求的，依法撤销许可证件。2.通过“双随机、一公开”监管、跨部门联合监管等方式，对升放无人驾驶自由气球、系留气球活动实施严格监管，发现违法违规行为的，要依法予以查处并公开结果。3.加强对升放气球行为的法律法规和科普宣传，提高升放单位和社会公众的安全意识。</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市气象局</w:t>
            </w:r>
          </w:p>
        </w:tc>
      </w:tr>
      <w:tr w:rsidR="00A03391" w:rsidRPr="008C4F58" w:rsidTr="007B0817">
        <w:trPr>
          <w:trHeight w:val="2596"/>
          <w:jc w:val="center"/>
        </w:trPr>
        <w:tc>
          <w:tcPr>
            <w:tcW w:w="440"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lastRenderedPageBreak/>
              <w:t>45</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国家烟草局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设立烟叶收购站（点）审批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烟草专卖烟叶收购证</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《中华人民共和国烟草专卖法实施条例》</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设区的市级烟草部门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严格管理烟叶收购经营秩序，除个别地区另有规定外，严禁烟草公司以外市场主体从事烟叶收购。2.实施“双随机、一公开”监管，发现违法违规行为的，要依法予以查处并公开结果。3.根据投诉举报开展重点检查。</w:t>
            </w:r>
          </w:p>
        </w:tc>
        <w:tc>
          <w:tcPr>
            <w:tcW w:w="95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市烟草专卖局</w:t>
            </w:r>
          </w:p>
        </w:tc>
      </w:tr>
      <w:tr w:rsidR="00A03391" w:rsidRPr="008C4F58" w:rsidTr="007B0817">
        <w:trPr>
          <w:trHeight w:val="2706"/>
          <w:jc w:val="center"/>
        </w:trPr>
        <w:tc>
          <w:tcPr>
            <w:tcW w:w="440" w:type="dxa"/>
            <w:shd w:val="clear" w:color="auto" w:fill="auto"/>
            <w:noWrap/>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46</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国家文物局</w:t>
            </w:r>
          </w:p>
        </w:tc>
        <w:tc>
          <w:tcPr>
            <w:tcW w:w="96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文物商店设立审批</w:t>
            </w:r>
          </w:p>
        </w:tc>
        <w:tc>
          <w:tcPr>
            <w:tcW w:w="840"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批准文件</w:t>
            </w:r>
          </w:p>
        </w:tc>
        <w:tc>
          <w:tcPr>
            <w:tcW w:w="1316" w:type="dxa"/>
            <w:shd w:val="clear" w:color="auto" w:fill="auto"/>
            <w:vAlign w:val="center"/>
          </w:tcPr>
          <w:p w:rsidR="00A03391" w:rsidRPr="008C4F58" w:rsidRDefault="00A03391" w:rsidP="007B0817">
            <w:pPr>
              <w:widowControl/>
              <w:adjustRightInd w:val="0"/>
              <w:snapToGrid w:val="0"/>
              <w:jc w:val="left"/>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《中华人民共和国文物保护法》</w:t>
            </w:r>
          </w:p>
        </w:tc>
        <w:tc>
          <w:tcPr>
            <w:tcW w:w="812"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省级文物部门</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573"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w:t>
            </w:r>
          </w:p>
        </w:tc>
        <w:tc>
          <w:tcPr>
            <w:tcW w:w="546" w:type="dxa"/>
            <w:shd w:val="clear" w:color="auto" w:fill="auto"/>
            <w:vAlign w:val="center"/>
          </w:tcPr>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p>
        </w:tc>
        <w:tc>
          <w:tcPr>
            <w:tcW w:w="2086"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制作并公布告知承诺书格式文本，一次性告知申请人许可条件和所需材料。对申请人自愿承诺符合许可条件并按要求提交材料的，当场作出许可决定。</w:t>
            </w:r>
          </w:p>
        </w:tc>
        <w:tc>
          <w:tcPr>
            <w:tcW w:w="3835" w:type="dxa"/>
            <w:shd w:val="clear" w:color="auto" w:fill="auto"/>
            <w:vAlign w:val="center"/>
          </w:tcPr>
          <w:p w:rsidR="00A03391" w:rsidRPr="008C4F58" w:rsidRDefault="00A03391" w:rsidP="007B0817">
            <w:pPr>
              <w:widowControl/>
              <w:adjustRightInd w:val="0"/>
              <w:snapToGrid w:val="0"/>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1.加强对文物商店经营活动的日常巡查和随机抽查，发现问题依法及时予以处理。2.开展文物购销记录信息抽检。3.公开文物商店名录，接受社会监督，依法及时处理投诉举报。</w:t>
            </w:r>
          </w:p>
        </w:tc>
        <w:tc>
          <w:tcPr>
            <w:tcW w:w="953" w:type="dxa"/>
            <w:shd w:val="clear" w:color="auto" w:fill="auto"/>
            <w:vAlign w:val="center"/>
          </w:tcPr>
          <w:p w:rsidR="00A03391"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市行政审批服务局</w:t>
            </w:r>
            <w:r>
              <w:rPr>
                <w:rFonts w:ascii="方正书宋_GBK" w:eastAsia="方正书宋_GBK" w:hAnsi="宋体" w:cs="宋体" w:hint="eastAsia"/>
                <w:color w:val="000000"/>
                <w:kern w:val="0"/>
              </w:rPr>
              <w:t>，</w:t>
            </w:r>
            <w:r w:rsidRPr="008C4F58">
              <w:rPr>
                <w:rFonts w:ascii="方正书宋_GBK" w:eastAsia="方正书宋_GBK" w:hAnsi="宋体" w:cs="宋体" w:hint="eastAsia"/>
                <w:color w:val="000000"/>
                <w:kern w:val="0"/>
              </w:rPr>
              <w:t>历下区、历城区政府</w:t>
            </w:r>
            <w:r>
              <w:rPr>
                <w:rFonts w:ascii="方正书宋_GBK" w:eastAsia="方正书宋_GBK" w:hAnsi="宋体" w:cs="宋体" w:hint="eastAsia"/>
                <w:color w:val="000000"/>
                <w:kern w:val="0"/>
              </w:rPr>
              <w:t>，</w:t>
            </w:r>
          </w:p>
          <w:p w:rsidR="00A03391" w:rsidRPr="008C4F58" w:rsidRDefault="00A03391" w:rsidP="007B0817">
            <w:pPr>
              <w:widowControl/>
              <w:adjustRightInd w:val="0"/>
              <w:snapToGrid w:val="0"/>
              <w:jc w:val="center"/>
              <w:rPr>
                <w:rFonts w:ascii="方正书宋_GBK" w:eastAsia="方正书宋_GBK" w:hAnsi="宋体" w:cs="宋体" w:hint="eastAsia"/>
                <w:color w:val="000000"/>
                <w:kern w:val="0"/>
              </w:rPr>
            </w:pPr>
            <w:r w:rsidRPr="008C4F58">
              <w:rPr>
                <w:rFonts w:ascii="方正书宋_GBK" w:eastAsia="方正书宋_GBK" w:hAnsi="宋体" w:cs="宋体" w:hint="eastAsia"/>
                <w:color w:val="000000"/>
                <w:kern w:val="0"/>
              </w:rPr>
              <w:t>济南高新区管委会</w:t>
            </w:r>
          </w:p>
        </w:tc>
      </w:tr>
    </w:tbl>
    <w:p w:rsidR="00A03391" w:rsidRDefault="00A03391" w:rsidP="00A03391">
      <w:pPr>
        <w:adjustRightInd w:val="0"/>
        <w:snapToGrid w:val="0"/>
        <w:rPr>
          <w:rFonts w:ascii="黑体" w:eastAsia="黑体" w:hAnsi="黑体" w:cs="黑体" w:hint="eastAsia"/>
          <w:sz w:val="32"/>
          <w:szCs w:val="32"/>
        </w:rPr>
      </w:pPr>
    </w:p>
    <w:p w:rsidR="00A03391" w:rsidRDefault="00A03391" w:rsidP="00A03391">
      <w:pPr>
        <w:adjustRightInd w:val="0"/>
        <w:snapToGrid w:val="0"/>
        <w:rPr>
          <w:rFonts w:ascii="黑体" w:eastAsia="黑体" w:hAnsi="黑体" w:cs="黑体" w:hint="eastAsia"/>
          <w:sz w:val="32"/>
          <w:szCs w:val="32"/>
        </w:rPr>
      </w:pPr>
    </w:p>
    <w:p w:rsidR="00A03391" w:rsidRDefault="00A03391" w:rsidP="00A03391">
      <w:pPr>
        <w:adjustRightInd w:val="0"/>
        <w:snapToGrid w:val="0"/>
        <w:rPr>
          <w:rFonts w:ascii="黑体" w:eastAsia="黑体" w:hAnsi="黑体" w:cs="黑体" w:hint="eastAsia"/>
          <w:sz w:val="32"/>
          <w:szCs w:val="32"/>
        </w:rPr>
      </w:pPr>
    </w:p>
    <w:p w:rsidR="00A03391" w:rsidRDefault="00A03391" w:rsidP="00A03391">
      <w:pPr>
        <w:adjustRightInd w:val="0"/>
        <w:snapToGrid w:val="0"/>
        <w:rPr>
          <w:rFonts w:ascii="黑体" w:eastAsia="黑体" w:hAnsi="黑体" w:cs="黑体" w:hint="eastAsia"/>
          <w:sz w:val="32"/>
          <w:szCs w:val="32"/>
        </w:rPr>
      </w:pPr>
    </w:p>
    <w:p w:rsidR="00A03391" w:rsidRDefault="00A03391" w:rsidP="00A03391">
      <w:pPr>
        <w:adjustRightInd w:val="0"/>
        <w:snapToGrid w:val="0"/>
        <w:rPr>
          <w:rFonts w:ascii="黑体" w:eastAsia="黑体" w:hAnsi="黑体" w:cs="黑体" w:hint="eastAsia"/>
          <w:sz w:val="32"/>
          <w:szCs w:val="32"/>
        </w:rPr>
      </w:pPr>
    </w:p>
    <w:p w:rsidR="003D1756" w:rsidRDefault="003D1756"/>
    <w:sectPr w:rsidR="003D1756" w:rsidSect="00783EE3">
      <w:headerReference w:type="even" r:id="rId6"/>
      <w:footerReference w:type="even" r:id="rId7"/>
      <w:footerReference w:type="default" r:id="rId8"/>
      <w:pgSz w:w="16838" w:h="11906" w:orient="landscape" w:code="9"/>
      <w:pgMar w:top="1644" w:right="1418" w:bottom="1474" w:left="1701" w:header="851" w:footer="992" w:gutter="0"/>
      <w:pgNumType w:start="8"/>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391" w:rsidRDefault="00A03391" w:rsidP="00A03391">
      <w:r>
        <w:separator/>
      </w:r>
    </w:p>
  </w:endnote>
  <w:endnote w:type="continuationSeparator" w:id="0">
    <w:p w:rsidR="00A03391" w:rsidRDefault="00A03391" w:rsidP="00A03391">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altName w:val="Malgun Gothic Semilight"/>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6A" w:rsidRDefault="00A03391" w:rsidP="00454C8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6A" w:rsidRPr="001519AF" w:rsidRDefault="00A03391" w:rsidP="00F409BE">
    <w:pPr>
      <w:pStyle w:val="a4"/>
      <w:framePr w:h="1445" w:hRule="exact" w:wrap="around" w:vAnchor="text" w:hAnchor="page" w:x="1124" w:y="-1735"/>
      <w:jc w:val="center"/>
      <w:textDirection w:val="tbRl"/>
      <w:rPr>
        <w:rStyle w:val="a5"/>
        <w:rFonts w:ascii="方正书宋_GBK" w:eastAsia="方正书宋_GBK" w:hint="eastAsia"/>
        <w:sz w:val="28"/>
        <w:szCs w:val="28"/>
      </w:rPr>
    </w:pPr>
    <w:r>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t>—</w:t>
    </w:r>
    <w:r w:rsidRPr="001519AF">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fldChar w:fldCharType="begin"/>
    </w:r>
    <w:r w:rsidRPr="001519AF">
      <w:rPr>
        <w:rStyle w:val="a5"/>
        <w:rFonts w:ascii="方正书宋_GBK" w:eastAsia="方正书宋_GBK" w:hint="eastAsia"/>
        <w:sz w:val="28"/>
        <w:szCs w:val="28"/>
      </w:rPr>
      <w:instrText xml:space="preserve">PAGE  </w:instrText>
    </w:r>
    <w:r w:rsidRPr="001519AF">
      <w:rPr>
        <w:rStyle w:val="a5"/>
        <w:rFonts w:ascii="方正书宋_GBK" w:eastAsia="方正书宋_GBK" w:hint="eastAsia"/>
        <w:sz w:val="28"/>
        <w:szCs w:val="28"/>
      </w:rPr>
      <w:fldChar w:fldCharType="separate"/>
    </w:r>
    <w:r>
      <w:rPr>
        <w:rStyle w:val="a5"/>
        <w:rFonts w:ascii="方正书宋_GBK" w:eastAsia="方正书宋_GBK"/>
        <w:noProof/>
        <w:sz w:val="28"/>
        <w:szCs w:val="28"/>
      </w:rPr>
      <w:t>8</w:t>
    </w:r>
    <w:r w:rsidRPr="001519AF">
      <w:rPr>
        <w:rStyle w:val="a5"/>
        <w:rFonts w:ascii="方正书宋_GBK" w:eastAsia="方正书宋_GBK" w:hint="eastAsia"/>
        <w:sz w:val="28"/>
        <w:szCs w:val="28"/>
      </w:rPr>
      <w:fldChar w:fldCharType="end"/>
    </w:r>
    <w:r w:rsidRPr="001519AF">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t>—</w:t>
    </w:r>
    <w:r>
      <w:rPr>
        <w:rStyle w:val="a5"/>
        <w:rFonts w:ascii="方正书宋_GBK" w:eastAsia="方正书宋_GBK" w:hint="eastAsia"/>
        <w:sz w:val="28"/>
        <w:szCs w:val="28"/>
      </w:rPr>
      <w:t xml:space="preserve">  </w:t>
    </w:r>
  </w:p>
  <w:p w:rsidR="0036386A" w:rsidRDefault="00A03391" w:rsidP="00F409BE">
    <w:pPr>
      <w:pStyle w:val="a4"/>
      <w:framePr w:wrap="auto" w:hAnchor="text" w:y="-173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391" w:rsidRDefault="00A03391" w:rsidP="00A03391">
      <w:r>
        <w:separator/>
      </w:r>
    </w:p>
  </w:footnote>
  <w:footnote w:type="continuationSeparator" w:id="0">
    <w:p w:rsidR="00A03391" w:rsidRDefault="00A03391" w:rsidP="00A03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6A" w:rsidRPr="001519AF" w:rsidRDefault="00A03391" w:rsidP="00F409BE">
    <w:pPr>
      <w:pStyle w:val="a4"/>
      <w:framePr w:w="465" w:h="1588" w:hRule="exact" w:wrap="around" w:vAnchor="text" w:hAnchor="page" w:x="1100" w:y="786"/>
      <w:jc w:val="center"/>
      <w:textDirection w:val="tbRl"/>
      <w:rPr>
        <w:rStyle w:val="a5"/>
        <w:rFonts w:ascii="方正书宋_GBK" w:eastAsia="方正书宋_GBK" w:hint="eastAsia"/>
        <w:sz w:val="28"/>
        <w:szCs w:val="28"/>
      </w:rPr>
    </w:pPr>
    <w:r w:rsidRPr="001519AF">
      <w:rPr>
        <w:rStyle w:val="a5"/>
        <w:rFonts w:ascii="方正书宋_GBK" w:eastAsia="方正书宋_GBK" w:hint="eastAsia"/>
        <w:sz w:val="28"/>
        <w:szCs w:val="28"/>
      </w:rPr>
      <w:t>—</w:t>
    </w:r>
    <w:r w:rsidRPr="001519AF">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fldChar w:fldCharType="begin"/>
    </w:r>
    <w:r w:rsidRPr="001519AF">
      <w:rPr>
        <w:rStyle w:val="a5"/>
        <w:rFonts w:ascii="方正书宋_GBK" w:eastAsia="方正书宋_GBK" w:hint="eastAsia"/>
        <w:sz w:val="28"/>
        <w:szCs w:val="28"/>
      </w:rPr>
      <w:instrText xml:space="preserve">PAGE  </w:instrText>
    </w:r>
    <w:r w:rsidRPr="001519AF">
      <w:rPr>
        <w:rStyle w:val="a5"/>
        <w:rFonts w:ascii="方正书宋_GBK" w:eastAsia="方正书宋_GBK" w:hint="eastAsia"/>
        <w:sz w:val="28"/>
        <w:szCs w:val="28"/>
      </w:rPr>
      <w:fldChar w:fldCharType="separate"/>
    </w:r>
    <w:r>
      <w:rPr>
        <w:rStyle w:val="a5"/>
        <w:rFonts w:ascii="方正书宋_GBK" w:eastAsia="方正书宋_GBK"/>
        <w:noProof/>
        <w:sz w:val="28"/>
        <w:szCs w:val="28"/>
      </w:rPr>
      <w:t>102</w:t>
    </w:r>
    <w:r w:rsidRPr="001519AF">
      <w:rPr>
        <w:rStyle w:val="a5"/>
        <w:rFonts w:ascii="方正书宋_GBK" w:eastAsia="方正书宋_GBK" w:hint="eastAsia"/>
        <w:sz w:val="28"/>
        <w:szCs w:val="28"/>
      </w:rPr>
      <w:fldChar w:fldCharType="end"/>
    </w:r>
    <w:r w:rsidRPr="001519AF">
      <w:rPr>
        <w:rStyle w:val="a5"/>
        <w:rFonts w:ascii="方正书宋_GBK" w:eastAsia="方正书宋_GBK" w:hint="eastAsia"/>
        <w:sz w:val="28"/>
        <w:szCs w:val="28"/>
      </w:rPr>
      <w:t xml:space="preserve"> </w:t>
    </w:r>
    <w:r w:rsidRPr="001519AF">
      <w:rPr>
        <w:rStyle w:val="a5"/>
        <w:rFonts w:ascii="方正书宋_GBK" w:eastAsia="方正书宋_GBK" w:hint="eastAsia"/>
        <w:sz w:val="28"/>
        <w:szCs w:val="28"/>
      </w:rPr>
      <w:t>—</w:t>
    </w:r>
  </w:p>
  <w:p w:rsidR="0036386A" w:rsidRDefault="00A033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391"/>
    <w:rsid w:val="003D1756"/>
    <w:rsid w:val="004853F9"/>
    <w:rsid w:val="009E063C"/>
    <w:rsid w:val="00A03391"/>
    <w:rsid w:val="00DC50E0"/>
    <w:rsid w:val="00E81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91"/>
    <w:pPr>
      <w:widowControl w:val="0"/>
      <w:jc w:val="both"/>
    </w:pPr>
    <w:rPr>
      <w:rFonts w:ascii="等线" w:eastAsia="等线" w:hAnsi="等线" w:cs="等线"/>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03391"/>
    <w:pPr>
      <w:pBdr>
        <w:bottom w:val="single" w:sz="6" w:space="1" w:color="auto"/>
      </w:pBdr>
      <w:tabs>
        <w:tab w:val="center" w:pos="4153"/>
        <w:tab w:val="right" w:pos="8306"/>
      </w:tabs>
      <w:snapToGrid w:val="0"/>
      <w:jc w:val="center"/>
    </w:pPr>
    <w:rPr>
      <w:rFonts w:ascii="仿宋" w:eastAsia="仿宋" w:hAnsi="仿宋" w:cstheme="minorBidi"/>
      <w:sz w:val="18"/>
      <w:szCs w:val="18"/>
    </w:rPr>
  </w:style>
  <w:style w:type="character" w:customStyle="1" w:styleId="Char">
    <w:name w:val="页眉 Char"/>
    <w:basedOn w:val="a0"/>
    <w:link w:val="a3"/>
    <w:uiPriority w:val="99"/>
    <w:semiHidden/>
    <w:rsid w:val="00A03391"/>
    <w:rPr>
      <w:sz w:val="18"/>
      <w:szCs w:val="18"/>
    </w:rPr>
  </w:style>
  <w:style w:type="paragraph" w:styleId="a4">
    <w:name w:val="footer"/>
    <w:basedOn w:val="a"/>
    <w:link w:val="Char0"/>
    <w:uiPriority w:val="99"/>
    <w:unhideWhenUsed/>
    <w:qFormat/>
    <w:rsid w:val="00A03391"/>
    <w:pPr>
      <w:tabs>
        <w:tab w:val="center" w:pos="4153"/>
        <w:tab w:val="right" w:pos="8306"/>
      </w:tabs>
      <w:snapToGrid w:val="0"/>
      <w:jc w:val="left"/>
    </w:pPr>
    <w:rPr>
      <w:rFonts w:ascii="仿宋" w:eastAsia="仿宋" w:hAnsi="仿宋" w:cstheme="minorBidi"/>
      <w:sz w:val="18"/>
      <w:szCs w:val="18"/>
    </w:rPr>
  </w:style>
  <w:style w:type="character" w:customStyle="1" w:styleId="Char0">
    <w:name w:val="页脚 Char"/>
    <w:basedOn w:val="a0"/>
    <w:link w:val="a4"/>
    <w:uiPriority w:val="99"/>
    <w:semiHidden/>
    <w:rsid w:val="00A03391"/>
    <w:rPr>
      <w:sz w:val="18"/>
      <w:szCs w:val="18"/>
    </w:rPr>
  </w:style>
  <w:style w:type="character" w:styleId="a5">
    <w:name w:val="page number"/>
    <w:basedOn w:val="a0"/>
    <w:rsid w:val="00A033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1860</Words>
  <Characters>10607</Characters>
  <Application>Microsoft Office Word</Application>
  <DocSecurity>0</DocSecurity>
  <Lines>88</Lines>
  <Paragraphs>24</Paragraphs>
  <ScaleCrop>false</ScaleCrop>
  <Company>Hewlett-Packard Company</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hp-2</cp:lastModifiedBy>
  <cp:revision>2</cp:revision>
  <dcterms:created xsi:type="dcterms:W3CDTF">2021-08-25T02:18:00Z</dcterms:created>
  <dcterms:modified xsi:type="dcterms:W3CDTF">2021-08-25T02:19:00Z</dcterms:modified>
</cp:coreProperties>
</file>