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tbl>
      <w:tblPr>
        <w:tblStyle w:val="13"/>
        <w:tblW w:w="9173" w:type="dxa"/>
        <w:tblInd w:w="0" w:type="dxa"/>
        <w:tblLayout w:type="fixed"/>
        <w:tblCellMar>
          <w:top w:w="0" w:type="dxa"/>
          <w:left w:w="28" w:type="dxa"/>
          <w:bottom w:w="0" w:type="dxa"/>
          <w:right w:w="28" w:type="dxa"/>
        </w:tblCellMar>
      </w:tblPr>
      <w:tblGrid>
        <w:gridCol w:w="7805"/>
        <w:gridCol w:w="1368"/>
      </w:tblGrid>
      <w:tr>
        <w:tblPrEx>
          <w:tblLayout w:type="fixed"/>
          <w:tblCellMar>
            <w:top w:w="0" w:type="dxa"/>
            <w:left w:w="28" w:type="dxa"/>
            <w:bottom w:w="0" w:type="dxa"/>
            <w:right w:w="28" w:type="dxa"/>
          </w:tblCellMar>
        </w:tblPrEx>
        <w:trPr>
          <w:cantSplit/>
        </w:trPr>
        <w:tc>
          <w:tcPr>
            <w:tcW w:w="78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840" w:lineRule="exact"/>
              <w:ind w:left="0" w:leftChars="0" w:right="0" w:rightChars="0" w:firstLine="0" w:firstLineChars="0"/>
              <w:jc w:val="distribute"/>
              <w:textAlignment w:val="auto"/>
              <w:outlineLvl w:val="9"/>
              <w:rPr>
                <w:rFonts w:hint="default" w:eastAsia="方正小标宋简体"/>
                <w:color w:val="FF0000"/>
                <w:kern w:val="0"/>
                <w:sz w:val="60"/>
              </w:rPr>
            </w:pPr>
            <w:r>
              <w:rPr>
                <w:rFonts w:hint="eastAsia" w:eastAsia="方正小标宋简体"/>
                <w:color w:val="FF0000"/>
                <w:kern w:val="0"/>
                <w:sz w:val="60"/>
              </w:rPr>
              <w:t>山东省人力资源和社会保障厅</w:t>
            </w:r>
          </w:p>
        </w:tc>
        <w:tc>
          <w:tcPr>
            <w:tcW w:w="136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880" w:lineRule="exact"/>
              <w:ind w:left="0" w:leftChars="0" w:right="0" w:rightChars="0" w:firstLine="0" w:firstLineChars="0"/>
              <w:jc w:val="center"/>
              <w:textAlignment w:val="auto"/>
              <w:outlineLvl w:val="9"/>
              <w:rPr>
                <w:rFonts w:hint="default" w:eastAsia="方正小标宋简体"/>
                <w:color w:val="FF0000"/>
                <w:kern w:val="0"/>
                <w:sz w:val="64"/>
              </w:rPr>
            </w:pPr>
            <w:r>
              <w:rPr>
                <w:rFonts w:hint="eastAsia" w:eastAsia="方正小标宋简体"/>
                <w:color w:val="FF0000"/>
                <w:kern w:val="0"/>
                <w:sz w:val="64"/>
              </w:rPr>
              <w:t>文件</w:t>
            </w:r>
          </w:p>
        </w:tc>
      </w:tr>
      <w:tr>
        <w:tblPrEx>
          <w:tblLayout w:type="fixed"/>
          <w:tblCellMar>
            <w:top w:w="0" w:type="dxa"/>
            <w:left w:w="28" w:type="dxa"/>
            <w:bottom w:w="0" w:type="dxa"/>
            <w:right w:w="28" w:type="dxa"/>
          </w:tblCellMar>
        </w:tblPrEx>
        <w:trPr>
          <w:cantSplit/>
        </w:trPr>
        <w:tc>
          <w:tcPr>
            <w:tcW w:w="78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840" w:lineRule="exact"/>
              <w:ind w:left="0" w:leftChars="0" w:right="0" w:rightChars="0" w:firstLine="0" w:firstLineChars="0"/>
              <w:jc w:val="distribute"/>
              <w:textAlignment w:val="auto"/>
              <w:outlineLvl w:val="9"/>
              <w:rPr>
                <w:rFonts w:hint="eastAsia" w:eastAsia="方正小标宋简体"/>
                <w:color w:val="FF0000"/>
                <w:kern w:val="0"/>
                <w:sz w:val="60"/>
                <w:lang w:val="en-US" w:eastAsia="zh-CN"/>
              </w:rPr>
            </w:pPr>
            <w:r>
              <w:rPr>
                <w:rFonts w:hint="eastAsia" w:eastAsia="方正小标宋简体"/>
                <w:color w:val="FF0000"/>
                <w:kern w:val="0"/>
                <w:sz w:val="60"/>
                <w:lang w:val="en-US" w:eastAsia="zh-CN"/>
              </w:rPr>
              <w:t>山东省财政厅</w:t>
            </w:r>
          </w:p>
        </w:tc>
        <w:tc>
          <w:tcPr>
            <w:tcW w:w="136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880" w:lineRule="exact"/>
              <w:ind w:left="0" w:leftChars="0" w:right="0" w:rightChars="0" w:firstLine="0" w:firstLineChars="0"/>
              <w:jc w:val="center"/>
              <w:textAlignment w:val="auto"/>
              <w:outlineLvl w:val="9"/>
              <w:rPr>
                <w:rFonts w:hint="eastAsia" w:eastAsia="方正小标宋简体"/>
                <w:color w:val="FF0000"/>
                <w:kern w:val="0"/>
                <w:sz w:val="64"/>
              </w:rPr>
            </w:pPr>
          </w:p>
        </w:tc>
      </w:tr>
      <w:tr>
        <w:tblPrEx>
          <w:tblLayout w:type="fixed"/>
          <w:tblCellMar>
            <w:top w:w="0" w:type="dxa"/>
            <w:left w:w="28" w:type="dxa"/>
            <w:bottom w:w="0" w:type="dxa"/>
            <w:right w:w="28" w:type="dxa"/>
          </w:tblCellMar>
        </w:tblPrEx>
        <w:trPr>
          <w:cantSplit/>
        </w:trPr>
        <w:tc>
          <w:tcPr>
            <w:tcW w:w="78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840" w:lineRule="exact"/>
              <w:ind w:left="0" w:leftChars="0" w:right="0" w:rightChars="0" w:firstLine="0" w:firstLineChars="0"/>
              <w:jc w:val="distribute"/>
              <w:textAlignment w:val="auto"/>
              <w:outlineLvl w:val="9"/>
              <w:rPr>
                <w:rFonts w:hint="eastAsia" w:eastAsia="方正小标宋简体"/>
                <w:color w:val="FF0000"/>
                <w:kern w:val="0"/>
                <w:sz w:val="60"/>
                <w:lang w:val="en-US" w:eastAsia="zh-CN"/>
              </w:rPr>
            </w:pPr>
            <w:r>
              <w:rPr>
                <w:rFonts w:hint="eastAsia" w:eastAsia="方正小标宋简体"/>
                <w:color w:val="FF0000"/>
                <w:kern w:val="0"/>
                <w:sz w:val="60"/>
                <w:lang w:val="en-US" w:eastAsia="zh-CN"/>
              </w:rPr>
              <w:t>国家税务总局山东省税务局</w:t>
            </w:r>
          </w:p>
        </w:tc>
        <w:tc>
          <w:tcPr>
            <w:tcW w:w="136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880" w:lineRule="exact"/>
              <w:ind w:left="0" w:leftChars="0" w:right="0" w:rightChars="0" w:firstLine="0" w:firstLineChars="0"/>
              <w:jc w:val="center"/>
              <w:textAlignment w:val="auto"/>
              <w:outlineLvl w:val="9"/>
              <w:rPr>
                <w:rFonts w:hint="eastAsia" w:eastAsia="方正小标宋简体"/>
                <w:color w:val="FF0000"/>
                <w:kern w:val="0"/>
                <w:sz w:val="64"/>
              </w:rPr>
            </w:pPr>
          </w:p>
        </w:tc>
      </w:tr>
      <w:tr>
        <w:tblPrEx>
          <w:tblLayout w:type="fixed"/>
          <w:tblCellMar>
            <w:top w:w="0" w:type="dxa"/>
            <w:left w:w="28" w:type="dxa"/>
            <w:bottom w:w="0" w:type="dxa"/>
            <w:right w:w="28" w:type="dxa"/>
          </w:tblCellMar>
        </w:tblPrEx>
        <w:trPr>
          <w:cantSplit/>
        </w:trPr>
        <w:tc>
          <w:tcPr>
            <w:tcW w:w="78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840" w:lineRule="exact"/>
              <w:ind w:left="0" w:leftChars="0" w:right="0" w:rightChars="0" w:firstLine="0" w:firstLineChars="0"/>
              <w:jc w:val="distribute"/>
              <w:textAlignment w:val="auto"/>
              <w:outlineLvl w:val="9"/>
              <w:rPr>
                <w:rFonts w:hint="eastAsia" w:eastAsia="方正小标宋简体"/>
                <w:color w:val="FF0000"/>
                <w:kern w:val="0"/>
                <w:sz w:val="60"/>
              </w:rPr>
            </w:pPr>
            <w:r>
              <w:rPr>
                <w:rFonts w:hint="eastAsia" w:eastAsia="方正小标宋简体"/>
                <w:color w:val="FF0000"/>
                <w:kern w:val="0"/>
                <w:sz w:val="60"/>
                <w:lang w:val="en-US" w:eastAsia="zh-CN"/>
              </w:rPr>
              <w:t>国家税务总局青岛市税务局</w:t>
            </w:r>
          </w:p>
        </w:tc>
        <w:tc>
          <w:tcPr>
            <w:tcW w:w="136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880" w:lineRule="exact"/>
              <w:ind w:left="0" w:leftChars="0" w:right="0" w:rightChars="0" w:firstLine="0" w:firstLineChars="0"/>
              <w:jc w:val="center"/>
              <w:textAlignment w:val="auto"/>
              <w:outlineLvl w:val="9"/>
              <w:rPr>
                <w:rFonts w:hint="eastAsia" w:eastAsia="方正小标宋简体"/>
                <w:color w:val="FF0000"/>
                <w:kern w:val="0"/>
                <w:sz w:val="6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 w:firstLineChars="100"/>
        <w:jc w:val="center"/>
        <w:textAlignment w:val="auto"/>
        <w:outlineLvl w:val="9"/>
        <w:rPr>
          <w:rFonts w:hint="eastAsia"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 w:firstLineChars="100"/>
        <w:jc w:val="center"/>
        <w:textAlignment w:val="auto"/>
        <w:outlineLvl w:val="9"/>
        <w:rPr>
          <w:rFonts w:hint="eastAsia"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鲁人社发〔2022〕</w:t>
      </w:r>
      <w:r>
        <w:rPr>
          <w:rFonts w:hint="eastAsia" w:ascii="仿宋_GB2312" w:hAnsi="仿宋_GB2312" w:eastAsia="仿宋_GB2312" w:cs="仿宋_GB2312"/>
          <w:bCs/>
          <w:color w:val="auto"/>
          <w:sz w:val="32"/>
          <w:szCs w:val="32"/>
          <w:lang w:val="en-US" w:eastAsia="zh-CN"/>
        </w:rPr>
        <w:t>22</w:t>
      </w:r>
      <w:r>
        <w:rPr>
          <w:rFonts w:hint="eastAsia" w:ascii="仿宋_GB2312" w:hAnsi="仿宋_GB2312" w:eastAsia="仿宋_GB2312" w:cs="仿宋_GB2312"/>
          <w:bCs/>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cs="宋体"/>
          <w:sz w:val="32"/>
          <w:szCs w:val="32"/>
          <w:u w:val="single"/>
          <w:lang w:val="zh-CN"/>
        </w:rPr>
      </w:pPr>
      <w:r>
        <w:rPr>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12065</wp:posOffset>
                </wp:positionV>
                <wp:extent cx="5615940" cy="0"/>
                <wp:effectExtent l="0" t="0" r="0" b="0"/>
                <wp:wrapNone/>
                <wp:docPr id="1" name="直线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2.1pt;margin-top:0.95pt;height:0pt;width:442.2pt;z-index:251661312;mso-width-relative:page;mso-height-relative:page;" filled="f" stroked="t" coordsize="21600,21600" o:gfxdata="UEsDBAoAAAAAAIdO4kAAAAAAAAAAAAAAAAAEAAAAZHJzL1BLAwQUAAAACACHTuJATqcUe9IAAAAF&#10;AQAADwAAAGRycy9kb3ducmV2LnhtbE2OMU/DMBCFdyT+g3VIbNRphUqaxqkQEkwwtJSBzYmvcSA+&#10;R7abhH/PwQLju/f03VfuZteLEUPsPClYLjIQSI03HbUKjq+PNzmImDQZ3XtCBV8YYVddXpS6MH6i&#10;PY6H1AqGUCy0ApvSUEgZG4tOx4UfkLg7+eB04hhaaYKeGO56ucqytXS6I/5g9YAPFpvPw9kpuH1+&#10;q4cp2Pfj/mm+2+A8jS8f90pdXy2zLYiEc/obw48+q0PFTrU/k4miZ8aKh3zegOA2z/M1iPo3y6qU&#10;/+2rb1BLAwQUAAAACACHTuJA0SjQmdQBAACcAwAADgAAAGRycy9lMm9Eb2MueG1srVNLjhMxEN0j&#10;cQfLe9KdiAnQSmcWE8IGwUgMB6j4023JP7k86eQsXIMVG44z16DsZMIAG4TIwim7ql7Ve1W9uj44&#10;y/YqoQm+5/NZy5nyIkjjh55/vtu+eM0ZZvASbPCq50eF/Hr9/Nlqip1ahDFYqRIjEI/dFHs+5hy7&#10;pkExKgc4C1F5cuqQHGS6pqGRCSZCd7ZZtO2ymUKSMQWhEOl1c3LydcXXWon8UWtUmdmeU2+5nqme&#10;u3I26xV0Q4I4GnFuA/6hCwfGU9EL1AYysPtk/oByRqSAQeeZCK4JWhuhKgdiM29/Y/NphKgqFxIH&#10;40Um/H+w4sP+NjEjaXaceXA0oocvXx++fWfLos0UsaOQG3+bzjeMt6kQPejkyj9RYIeq5/Gipzpk&#10;Jujxajm/evOSZBePvuZnYkyY36ngWDF6bo0vVKGD/XvMVIxCH0PKs/VsoiYXr9qCB7Qq2kIm00Vq&#10;Hv1QkzFYI7fG2pKCadjd2MT2QMPfblv6FU4E/EtYqbIBHE9x1XVai1GBfOsly8dIsnjaX156cEpy&#10;ZhWte7EIELoMxv5NJJW2viSouppnokXkk6zF2gV5pJHcx2SGkYSZ156Lh1agdn9e17JjT+9kP/2o&#10;1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qcUe9IAAAAFAQAADwAAAAAAAAABACAAAAAiAAAA&#10;ZHJzL2Rvd25yZXYueG1sUEsBAhQAFAAAAAgAh07iQNEo0JnUAQAAnAMAAA4AAAAAAAAAAQAgAAAA&#10;IQEAAGRycy9lMm9Eb2MueG1sUEsFBgAAAAAGAAYAWQEAAGcFAAAAAA==&#10;">
                <v:fill on="f" focussize="0,0"/>
                <v:stroke weight="1pt" color="#FF0000" joinstyle="round"/>
                <v:imagedata o:title=""/>
                <o:lock v:ext="edit" aspectratio="f"/>
              </v:line>
            </w:pict>
          </mc:Fallback>
        </mc:AlternateContent>
      </w:r>
    </w:p>
    <w:p>
      <w:pPr>
        <w:pStyle w:val="15"/>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rPr>
          <w:rFonts w:hint="eastAsia" w:ascii="黑体" w:hAnsi="黑体" w:eastAsia="黑体" w:cs="黑体"/>
          <w:color w:va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山东省人力资源和社会保障厅</w:t>
      </w:r>
      <w:r>
        <w:rPr>
          <w:rFonts w:hint="default" w:ascii="方正小标宋简体" w:hAnsi="方正小标宋简体" w:eastAsia="方正小标宋简体" w:cs="方正小标宋简体"/>
          <w:color w:val="auto"/>
          <w:sz w:val="44"/>
          <w:szCs w:val="44"/>
          <w:lang w:eastAsia="zh-CN"/>
        </w:rPr>
        <w:t xml:space="preserve"> </w:t>
      </w:r>
      <w:r>
        <w:rPr>
          <w:rFonts w:hint="eastAsia" w:ascii="方正小标宋简体" w:hAnsi="方正小标宋简体" w:eastAsia="方正小标宋简体" w:cs="方正小标宋简体"/>
          <w:color w:val="auto"/>
          <w:sz w:val="44"/>
          <w:szCs w:val="44"/>
          <w:lang w:val="en-US" w:eastAsia="zh-CN"/>
        </w:rPr>
        <w:t>山东省财政厅</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国家税务总局山东省税务局 国家税务总局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青岛市税务局关于完善居民基本养老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保险政策有关问题的通知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color w:val="auto"/>
          <w:szCs w:val="32"/>
          <w:lang w:val="en-US"/>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eastAsia="仿宋_GB2312"/>
          <w:color w:val="auto"/>
          <w:lang w:val="en-US"/>
        </w:rPr>
      </w:pPr>
      <w:r>
        <w:rPr>
          <w:rFonts w:hint="eastAsia" w:ascii="仿宋_GB2312" w:hAnsi="仿宋_GB2312" w:eastAsia="仿宋_GB2312" w:cs="仿宋_GB2312"/>
          <w:color w:val="auto"/>
          <w:kern w:val="2"/>
          <w:sz w:val="32"/>
          <w:szCs w:val="24"/>
          <w:lang w:val="en-US" w:eastAsia="zh-CN" w:bidi="ar"/>
        </w:rPr>
        <w:t>各市人力资源社会保障局、财政局、税务局：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为进一步做好全省居民基本养老保险（以下简称“居民养老保险”）工作，不断改善参保居民生活，促进共同富裕，经省政府同意，现就完善居民养老保险有关政策通知如下。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黑体" w:hAnsi="宋体" w:eastAsia="黑体" w:cs="黑体"/>
          <w:color w:val="auto"/>
          <w:szCs w:val="32"/>
          <w:lang w:val="en-US"/>
        </w:rPr>
      </w:pPr>
      <w:r>
        <w:rPr>
          <w:rFonts w:hint="eastAsia" w:ascii="黑体" w:hAnsi="宋体" w:eastAsia="黑体" w:cs="黑体"/>
          <w:color w:val="auto"/>
          <w:kern w:val="2"/>
          <w:sz w:val="32"/>
          <w:szCs w:val="32"/>
          <w:lang w:val="en-US" w:eastAsia="zh-CN" w:bidi="ar"/>
        </w:rPr>
        <w:t>一、鼓励多缴长缴，提高待遇水平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一）居民养老保险缴费标准全省统一设为每年100元、350元、500元、800元、1000元、3000元、5000元、8000元8个档次。其中，100元档次只适用于重度残疾人等缴费困难群体的最低选择。除100元档次外，参保人自主选择缴费档次，按年缴费，多缴多得。各地最低缴费档次高于省定最低标准的，或者最高缴费档次高于省定最高标准的，继续按原标准执行。已经启动缴纳2023年度居民养老保险保费的市、县（市、区）可以顺延一年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strike/>
          <w:dstrike w:val="0"/>
          <w:color w:val="auto"/>
          <w:szCs w:val="32"/>
          <w:lang w:val="en-US"/>
        </w:rPr>
      </w:pPr>
      <w:r>
        <w:rPr>
          <w:rFonts w:hint="eastAsia" w:ascii="仿宋_GB2312" w:hAnsi="仿宋_GB2312" w:eastAsia="仿宋_GB2312" w:cs="仿宋_GB2312"/>
          <w:color w:val="auto"/>
          <w:kern w:val="2"/>
          <w:sz w:val="32"/>
          <w:szCs w:val="32"/>
          <w:lang w:val="en-US" w:eastAsia="zh-CN" w:bidi="ar"/>
        </w:rPr>
        <w:t>（二）政府对参保人缴费给予适当补贴，对选择100元和350元标准缴费的，补贴标准不低于每人每年30元；对选择500元标准缴费的，补贴标准不低于每人每年60元；对选择800元及以上标准缴费的，补贴标准不低于每人每年80元。市、县（市、区）政府可适当调整缴费补贴标准，引导居民选择高档次标准缴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_GB2312" w:hAnsi="仿宋_GB2312" w:eastAsia="仿宋_GB2312" w:cs="仿宋_GB2312"/>
          <w:color w:val="auto"/>
          <w:szCs w:val="32"/>
          <w:lang w:val="en-US"/>
        </w:rPr>
      </w:pPr>
      <w:r>
        <w:rPr>
          <w:rFonts w:hint="default" w:ascii="仿宋_GB2312" w:hAnsi="仿宋_GB2312" w:eastAsia="仿宋_GB2312" w:cs="仿宋_GB2312"/>
          <w:color w:val="auto"/>
          <w:kern w:val="2"/>
          <w:sz w:val="32"/>
          <w:szCs w:val="32"/>
          <w:lang w:eastAsia="zh-CN" w:bidi="ar"/>
        </w:rPr>
        <w:t xml:space="preserve">    </w:t>
      </w:r>
      <w:r>
        <w:rPr>
          <w:rFonts w:hint="eastAsia" w:ascii="仿宋_GB2312" w:hAnsi="仿宋_GB2312" w:eastAsia="仿宋_GB2312" w:cs="仿宋_GB2312"/>
          <w:color w:val="auto"/>
          <w:kern w:val="2"/>
          <w:sz w:val="32"/>
          <w:szCs w:val="32"/>
          <w:lang w:val="en-US" w:eastAsia="zh-CN" w:bidi="ar"/>
        </w:rPr>
        <w:t>（三）</w:t>
      </w:r>
      <w:r>
        <w:rPr>
          <w:rFonts w:hint="eastAsia" w:ascii="仿宋_GB2312" w:hAnsi="Calibri" w:eastAsia="仿宋_GB2312" w:cs="仿宋_GB2312"/>
          <w:b w:val="0"/>
          <w:bCs w:val="0"/>
          <w:color w:val="auto"/>
          <w:kern w:val="2"/>
          <w:sz w:val="32"/>
          <w:szCs w:val="32"/>
          <w:lang w:val="en-US" w:eastAsia="zh-CN" w:bidi="ar"/>
        </w:rPr>
        <w:t>对重度残疾人、低保对象、特困人员、脱贫享受政策等缴费困难群体，</w:t>
      </w:r>
      <w:r>
        <w:rPr>
          <w:rFonts w:hint="eastAsia" w:ascii="仿宋_GB2312" w:hAnsi="仿宋_GB2312" w:eastAsia="仿宋_GB2312" w:cs="仿宋_GB2312"/>
          <w:color w:val="auto"/>
          <w:kern w:val="2"/>
          <w:sz w:val="32"/>
          <w:szCs w:val="32"/>
          <w:lang w:val="en-US" w:eastAsia="zh-CN" w:bidi="ar"/>
        </w:rPr>
        <w:t>市、县（市、区）政府为其代缴最低标准的养老保险费，同时给予不低于30元的缴费补贴。缴费困难群体自行选择较高档次缴费的，按照相应缴费档次的补贴标准执行。参保人同时符合两个以上困难群体代缴身份的，不叠加享受代缴政策。</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四）参保人应当逐年缴费。对达到待遇领取年龄但缴费年限达不到规定年限的参保人，允许办理待遇领取手续当年一次性补缴，但补缴不享受缴费补贴，不计入年限基础养老金的缴费年限，补缴后累计缴费年限不得超过</w:t>
      </w:r>
      <w:r>
        <w:rPr>
          <w:rFonts w:hint="eastAsia" w:ascii="仿宋_GB2312" w:hAnsi="仿宋_GB2312" w:eastAsia="仿宋_GB2312" w:cs="仿宋_GB2312"/>
          <w:color w:val="auto"/>
          <w:sz w:val="32"/>
          <w:szCs w:val="32"/>
          <w:lang w:val="en-US"/>
        </w:rPr>
        <w:t>15</w:t>
      </w:r>
      <w:r>
        <w:rPr>
          <w:rFonts w:hint="eastAsia" w:ascii="仿宋_GB2312" w:hAnsi="仿宋_GB2312" w:eastAsia="仿宋_GB2312" w:cs="仿宋_GB2312"/>
          <w:color w:val="auto"/>
          <w:sz w:val="32"/>
          <w:szCs w:val="32"/>
          <w:lang w:eastAsia="zh-CN"/>
        </w:rPr>
        <w:t>年，含按照城乡养老保险制度衔接转移的职工基本养老保险（以下简称“职工养老保险”）的缴费年限，不含原农保缴费年限。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（五）落实居民养老保险待遇确定和基础养老金正常调整机制，统筹考虑城乡居民收入增长、物价变动和职工养老保险等其他社会保障标准调整情况，适时适度提高居民养老保险基础养老金最低标准。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黑体" w:hAnsi="宋体" w:eastAsia="黑体" w:cs="黑体"/>
          <w:color w:val="auto"/>
          <w:szCs w:val="32"/>
          <w:lang w:val="en-US"/>
        </w:rPr>
      </w:pPr>
      <w:r>
        <w:rPr>
          <w:rFonts w:hint="eastAsia" w:ascii="黑体" w:hAnsi="宋体" w:eastAsia="黑体" w:cs="黑体"/>
          <w:color w:val="auto"/>
          <w:kern w:val="2"/>
          <w:sz w:val="32"/>
          <w:szCs w:val="32"/>
          <w:lang w:val="en-US" w:eastAsia="zh-CN" w:bidi="ar"/>
        </w:rPr>
        <w:t>二、加强基金管理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一）严格执行居民养老保险基金管理各项政策规定，严格落实收支两条线制度，做到账账相符、账表相符、账实相符。不断优化存款结构，规范选择基金开户银行，严格执行优惠利率，在确保基金安全的前提下努力实现保值增值。健全政策、经办、信息、监督“四位一体”基金风险防控体系，认真抓好审计、巡视、检查等发现问题的整改，严厉打击侵占挪用基金等违法违规行为。全面开展居民养老保险资金预算绩效管理，对各地政策执行、基金管理等进行科学评估，评估结果与省级财政补助资金结算挂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二）根据《人力资源社会保障部财政部关于加快推进城乡居民基本养老保险基金委托投资工作的通知》（人社部发〔2018〕47号）要求，2017年及以后居民养老保险基金新增结余不少于80%的资金用于委托投资。各地要按要求及时足额上解结余基金，同时要合理确定新增结余基金存储结构和存储期限，避免定期存款提前支取，造成利息损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三）按照国家有关规定，进一步规范个人账户记账利率，将收益以记账方式归属于个人账户，维护参保人权益。个人账户记账利率，按照不低于中国人民银行公布的金融机构人民币一年期存款基准利率，由省人力资源社会保障厅、省财政厅根据上年度基金各项收益综合测算后统一确定。个人账户记账利率执行期为当年1月1日至12月31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黑体" w:hAnsi="宋体" w:eastAsia="黑体" w:cs="黑体"/>
          <w:color w:val="auto"/>
          <w:szCs w:val="32"/>
          <w:lang w:val="en-US"/>
        </w:rPr>
      </w:pPr>
      <w:r>
        <w:rPr>
          <w:rFonts w:hint="eastAsia" w:ascii="黑体" w:hAnsi="宋体" w:eastAsia="黑体" w:cs="黑体"/>
          <w:color w:val="auto"/>
          <w:kern w:val="2"/>
          <w:sz w:val="32"/>
          <w:szCs w:val="32"/>
          <w:lang w:val="en-US" w:eastAsia="zh-CN" w:bidi="ar"/>
        </w:rPr>
        <w:t>三、规范待遇领取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一）享受职工养老保险待遇、一至四级工伤职工伤残津贴、失业保险待遇、按照国发〔1978〕104号等文件规定领取退职生活费的人员，不得同时领取居民养老保险待遇。已经领取的待遇，按照《山东省人力资源和社会保障厅山东省财政厅关于转发人社厅发〔2019〕94号文件明确企业职工基本养老保险关系转移接续有关问题的通知》（鲁人社字〔2019〕226号）等规定予以追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（二）领取企业或机关事业单位遗属生活困难补助、工亡职工供养亲属抚恤金、上世纪五六十年代企业或机关事业单位精简（减）退职人员生活困难补助费的人员，可同时享受居民养老保险待遇。</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36"/>
        <w:jc w:val="both"/>
        <w:textAlignment w:val="auto"/>
        <w:rPr>
          <w:rFonts w:hint="eastAsia" w:ascii="仿宋_GB2312" w:hAnsi="仿宋" w:eastAsia="仿宋_GB2312" w:cs="Times New Roman"/>
          <w:b w:val="0"/>
          <w:bCs w:val="0"/>
          <w:color w:val="auto"/>
          <w:kern w:val="2"/>
          <w:sz w:val="32"/>
          <w:szCs w:val="32"/>
        </w:rPr>
      </w:pPr>
      <w:r>
        <w:rPr>
          <w:rFonts w:hint="eastAsia" w:ascii="仿宋_GB2312" w:hAnsi="仿宋_GB2312" w:eastAsia="仿宋_GB2312" w:cs="仿宋_GB2312"/>
          <w:b w:val="0"/>
          <w:bCs w:val="0"/>
          <w:color w:val="auto"/>
          <w:sz w:val="32"/>
          <w:szCs w:val="32"/>
          <w:lang w:eastAsia="zh-CN"/>
        </w:rPr>
        <w:t>（三）</w:t>
      </w:r>
      <w:r>
        <w:rPr>
          <w:rFonts w:hint="eastAsia" w:ascii="仿宋_GB2312" w:hAnsi="Calibri" w:eastAsia="仿宋_GB2312" w:cs="仿宋_GB2312"/>
          <w:b w:val="0"/>
          <w:bCs w:val="0"/>
          <w:color w:val="auto"/>
          <w:kern w:val="2"/>
          <w:sz w:val="32"/>
          <w:szCs w:val="32"/>
          <w:lang w:val="en-US" w:eastAsia="zh-CN" w:bidi="ar"/>
        </w:rPr>
        <w:t>参保人同时参加职工养老保险和居民养老保险的，符合居民养老保险待遇领取条件时，参保人选择延缴职工养老保险的，不得领取居民养老保险待遇；待符合职工养老保险待遇领取条件，</w:t>
      </w:r>
      <w:r>
        <w:rPr>
          <w:rFonts w:hint="eastAsia" w:ascii="仿宋_GB2312" w:hAnsi="仿宋" w:eastAsia="仿宋_GB2312" w:cs="仿宋_GB2312"/>
          <w:b w:val="0"/>
          <w:bCs w:val="0"/>
          <w:color w:val="auto"/>
          <w:kern w:val="2"/>
          <w:sz w:val="32"/>
          <w:szCs w:val="32"/>
          <w:lang w:val="en-US" w:eastAsia="zh-CN" w:bidi="ar"/>
        </w:rPr>
        <w:t>可以申请从居民养老保险转入职工养老保险，按照职工养老保险办法计发相应待遇</w:t>
      </w:r>
      <w:r>
        <w:rPr>
          <w:rFonts w:hint="eastAsia" w:ascii="仿宋_GB2312" w:hAnsi="Calibri" w:eastAsia="仿宋_GB2312" w:cs="仿宋_GB2312"/>
          <w:b w:val="0"/>
          <w:bCs w:val="0"/>
          <w:color w:val="auto"/>
          <w:kern w:val="2"/>
          <w:sz w:val="32"/>
          <w:szCs w:val="32"/>
          <w:lang w:val="en-US" w:eastAsia="zh-CN" w:bidi="ar"/>
        </w:rPr>
        <w:t>。</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color w:val="auto"/>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参保人领取居民养老保险待遇后，延缴职工养老保险的，暂停居民养老保险待遇，待领取职工养老保险待遇后，终止并解除居民养老保险关系，除政府补贴外的个人账户余额退还本人，已领取的居民养老保险基础养老金应予以退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四）居民养老保险养老金待遇领取人死亡的，相关人员在办理居民养老保险注销登记后，一次性发给丧葬补助金。对因未及时办理注销登记而多领取的居民养老保险待遇，可直接从被注销人员的个人账户余额和丧葬补助金中抵扣；不足抵扣的，应责令有关人员予以退还；拒不退还的，按程序移交有关部门依法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黑体" w:hAnsi="宋体" w:eastAsia="黑体" w:cs="黑体"/>
          <w:color w:val="auto"/>
          <w:szCs w:val="32"/>
          <w:lang w:val="en-US"/>
        </w:rPr>
      </w:pPr>
      <w:r>
        <w:rPr>
          <w:rFonts w:hint="eastAsia" w:ascii="黑体" w:hAnsi="宋体" w:eastAsia="黑体" w:cs="黑体"/>
          <w:color w:val="auto"/>
          <w:kern w:val="2"/>
          <w:sz w:val="32"/>
          <w:szCs w:val="32"/>
          <w:lang w:val="en-US" w:eastAsia="zh-CN" w:bidi="ar"/>
        </w:rPr>
        <w:t xml:space="preserve">    四、明确服刑人员相关政策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rPr>
          <w:rFonts w:hint="eastAsia" w:ascii="仿宋_GB2312" w:eastAsia="仿宋_GB2312" w:cs="仿宋_GB2312"/>
          <w:b/>
          <w:color w:val="auto"/>
          <w:kern w:val="2"/>
          <w:sz w:val="32"/>
          <w:szCs w:val="32"/>
        </w:rPr>
      </w:pPr>
      <w:r>
        <w:rPr>
          <w:rFonts w:hint="eastAsia" w:ascii="仿宋_GB2312" w:hAnsi="仿宋_GB2312" w:eastAsia="仿宋_GB2312" w:cs="仿宋_GB2312"/>
          <w:color w:val="auto"/>
          <w:kern w:val="2"/>
          <w:sz w:val="32"/>
          <w:szCs w:val="32"/>
          <w:lang w:val="en-US" w:eastAsia="zh-CN" w:bidi="ar"/>
        </w:rPr>
        <w:t>（一）</w:t>
      </w:r>
      <w:r>
        <w:rPr>
          <w:rFonts w:hint="eastAsia" w:ascii="仿宋_GB2312" w:hAnsi="Calibri" w:eastAsia="仿宋_GB2312" w:cs="仿宋_GB2312"/>
          <w:b w:val="0"/>
          <w:bCs w:val="0"/>
          <w:color w:val="auto"/>
          <w:kern w:val="2"/>
          <w:sz w:val="32"/>
          <w:szCs w:val="32"/>
          <w:lang w:val="en-US" w:eastAsia="zh-CN" w:bidi="ar"/>
        </w:rPr>
        <w:t>被判处拘役以上刑罚的人员，服刑期间不得领取待遇。</w:t>
      </w:r>
      <w:r>
        <w:rPr>
          <w:rFonts w:hint="eastAsia" w:ascii="仿宋_GB2312" w:hAnsi="Calibri" w:eastAsia="仿宋_GB2312" w:cs="仿宋_GB2312"/>
          <w:color w:val="auto"/>
          <w:kern w:val="2"/>
          <w:sz w:val="32"/>
          <w:szCs w:val="32"/>
          <w:lang w:val="en-US" w:eastAsia="zh-CN" w:bidi="ar"/>
        </w:rPr>
        <w:t>服刑期间领取待遇的</w:t>
      </w:r>
      <w:r>
        <w:rPr>
          <w:rFonts w:hint="eastAsia" w:ascii="仿宋_GB2312" w:hAnsi="仿宋_GB2312" w:eastAsia="仿宋_GB2312" w:cs="仿宋_GB2312"/>
          <w:color w:val="auto"/>
          <w:kern w:val="2"/>
          <w:sz w:val="32"/>
          <w:szCs w:val="32"/>
          <w:lang w:val="en-US" w:eastAsia="zh-CN" w:bidi="ar"/>
        </w:rPr>
        <w:t>，按规定予以追回。服刑期间达到待遇领取年龄的，暂缓办理待遇领取手续。服刑前领取待遇及服刑期间达到待遇领取年龄的，服刑期满后，符合待遇领取条件的，由本人提出领取申请，自服刑期满后的次月起领取待遇，其基础养老金按照服刑期满后待遇领取地最新标准执行。</w:t>
      </w:r>
      <w:r>
        <w:rPr>
          <w:rFonts w:hint="eastAsia" w:ascii="仿宋_GB2312" w:hAnsi="Calibri" w:eastAsia="仿宋_GB2312" w:cs="仿宋_GB2312"/>
          <w:b w:val="0"/>
          <w:bCs w:val="0"/>
          <w:color w:val="auto"/>
          <w:kern w:val="2"/>
          <w:sz w:val="32"/>
          <w:szCs w:val="32"/>
          <w:lang w:val="en-US" w:eastAsia="zh-CN" w:bidi="ar"/>
        </w:rPr>
        <w:t>服刑期满后，不符合待遇领取条件的，可按规定缴费或补缴，补缴可覆盖服刑年度，符合待遇领取条件时，按规定领取待遇。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rPr>
          <w:rFonts w:hint="eastAsia" w:ascii="仿宋_GB2312" w:eastAsia="仿宋_GB2312" w:cs="仿宋_GB2312"/>
          <w:b w:val="0"/>
          <w:bCs w:val="0"/>
          <w:color w:val="auto"/>
          <w:kern w:val="2"/>
          <w:sz w:val="32"/>
          <w:szCs w:val="32"/>
        </w:rPr>
      </w:pPr>
      <w:r>
        <w:rPr>
          <w:rFonts w:hint="eastAsia" w:ascii="仿宋_GB2312" w:hAnsi="仿宋_GB2312" w:eastAsia="仿宋_GB2312" w:cs="仿宋_GB2312"/>
          <w:color w:val="auto"/>
          <w:kern w:val="2"/>
          <w:sz w:val="32"/>
          <w:szCs w:val="32"/>
          <w:lang w:val="en-US" w:eastAsia="zh-CN" w:bidi="ar"/>
        </w:rPr>
        <w:t>（二）被判处管制、有期徒刑宣告缓刑、暂予监外执行、假释的人员，可按规定参保、缴费、领取待遇。已领取待遇人员可按判刑前的标准继续领取养老金，不参与基础养老金调整。服刑期满后，由本人提出领取申请，自服刑期满后的次月起其基础养老金按照服刑期满后待遇领取地最新标准执行。</w:t>
      </w:r>
      <w:r>
        <w:rPr>
          <w:rFonts w:hint="eastAsia" w:ascii="仿宋_GB2312" w:hAnsi="Calibri" w:eastAsia="仿宋_GB2312" w:cs="仿宋_GB2312"/>
          <w:b w:val="0"/>
          <w:bCs w:val="0"/>
          <w:color w:val="auto"/>
          <w:kern w:val="2"/>
          <w:sz w:val="32"/>
          <w:szCs w:val="32"/>
          <w:lang w:val="en-US" w:eastAsia="zh-CN" w:bidi="ar"/>
        </w:rPr>
        <w:t>被裁定撤销缓刑、假释继续服刑以及被决定暂予监外执行收监执行的，从裁定、决定作出之月起停止发放待遇。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b/>
          <w:color w:val="auto"/>
          <w:szCs w:val="32"/>
          <w:lang w:val="en-US"/>
        </w:rPr>
      </w:pPr>
      <w:r>
        <w:rPr>
          <w:rFonts w:hint="eastAsia" w:ascii="仿宋_GB2312" w:hAnsi="仿宋_GB2312" w:eastAsia="仿宋_GB2312" w:cs="仿宋_GB2312"/>
          <w:color w:val="auto"/>
          <w:kern w:val="2"/>
          <w:sz w:val="32"/>
          <w:szCs w:val="32"/>
          <w:lang w:val="en-US" w:eastAsia="zh-CN" w:bidi="ar"/>
        </w:rPr>
        <w:t>待遇领取人服刑期间死亡的，发给一次性丧葬补助金。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黑体" w:hAnsi="宋体" w:eastAsia="黑体" w:cs="黑体"/>
          <w:color w:val="auto"/>
          <w:szCs w:val="32"/>
          <w:lang w:val="en-US"/>
        </w:rPr>
      </w:pPr>
      <w:r>
        <w:rPr>
          <w:rFonts w:hint="eastAsia" w:ascii="黑体" w:hAnsi="宋体" w:eastAsia="黑体" w:cs="黑体"/>
          <w:color w:val="auto"/>
          <w:kern w:val="2"/>
          <w:sz w:val="32"/>
          <w:szCs w:val="32"/>
          <w:lang w:val="en-US" w:eastAsia="zh-CN" w:bidi="ar"/>
        </w:rPr>
        <w:t>五、稳妥处理历史遗留问题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rPr>
          <w:rFonts w:hint="eastAsia" w:ascii="仿宋_GB2312" w:eastAsia="仿宋_GB2312" w:cs="仿宋_GB2312"/>
          <w:b w:val="0"/>
          <w:bCs w:val="0"/>
          <w:color w:val="auto"/>
          <w:kern w:val="2"/>
          <w:sz w:val="32"/>
          <w:szCs w:val="32"/>
        </w:rPr>
      </w:pPr>
      <w:r>
        <w:rPr>
          <w:rFonts w:hint="eastAsia" w:ascii="仿宋_GB2312" w:hAnsi="Calibri" w:eastAsia="仿宋_GB2312" w:cs="仿宋_GB2312"/>
          <w:b w:val="0"/>
          <w:bCs w:val="0"/>
          <w:color w:val="auto"/>
          <w:kern w:val="2"/>
          <w:sz w:val="32"/>
          <w:szCs w:val="32"/>
          <w:lang w:val="en-US" w:eastAsia="zh-CN" w:bidi="ar"/>
        </w:rPr>
        <w:t>（一）新农保或城居保制度实施时不满60周岁的人员，年满60周岁时符合待遇领取条件，办理待遇领取手续后，自年满60周岁的次月起计发待遇。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rPr>
          <w:rFonts w:hint="eastAsia" w:ascii="仿宋_GB2312" w:eastAsia="仿宋_GB2312" w:cs="仿宋_GB2312"/>
          <w:b w:val="0"/>
          <w:bCs w:val="0"/>
          <w:color w:val="auto"/>
          <w:kern w:val="2"/>
          <w:sz w:val="32"/>
          <w:szCs w:val="32"/>
        </w:rPr>
      </w:pPr>
      <w:r>
        <w:rPr>
          <w:rFonts w:hint="default" w:ascii="仿宋_GB2312" w:hAnsi="Calibri" w:eastAsia="仿宋_GB2312" w:cs="仿宋_GB2312"/>
          <w:b w:val="0"/>
          <w:bCs w:val="0"/>
          <w:color w:val="auto"/>
          <w:kern w:val="2"/>
          <w:sz w:val="32"/>
          <w:szCs w:val="32"/>
          <w:lang w:eastAsia="zh-CN" w:bidi="ar"/>
        </w:rPr>
        <w:t>（二）</w:t>
      </w:r>
      <w:r>
        <w:rPr>
          <w:rFonts w:hint="eastAsia" w:ascii="仿宋_GB2312" w:hAnsi="Calibri" w:eastAsia="仿宋_GB2312" w:cs="仿宋_GB2312"/>
          <w:b w:val="0"/>
          <w:bCs w:val="0"/>
          <w:color w:val="auto"/>
          <w:kern w:val="2"/>
          <w:sz w:val="32"/>
          <w:szCs w:val="32"/>
          <w:lang w:val="en-US" w:eastAsia="zh-CN" w:bidi="ar"/>
        </w:rPr>
        <w:t>新农保或城居保制度实施时已年满60周岁且未办理参保登记手续人员，可自办理手续的次月起领取待遇，其中自愿增加缴费年限的，允许按规定补缴，自补缴费用到账后的次月起领取待遇。补办登记手续或补缴手续之前的待遇不予补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rPr>
          <w:rFonts w:hint="eastAsia" w:ascii="仿宋_GB2312" w:eastAsia="仿宋_GB2312" w:cs="仿宋_GB2312"/>
          <w:b w:val="0"/>
          <w:bCs w:val="0"/>
          <w:color w:val="auto"/>
          <w:kern w:val="2"/>
          <w:sz w:val="32"/>
          <w:szCs w:val="32"/>
        </w:rPr>
      </w:pPr>
      <w:r>
        <w:rPr>
          <w:rFonts w:hint="eastAsia" w:ascii="仿宋_GB2312" w:hAnsi="Calibri" w:eastAsia="仿宋_GB2312" w:cs="仿宋_GB2312"/>
          <w:b w:val="0"/>
          <w:bCs w:val="0"/>
          <w:color w:val="auto"/>
          <w:kern w:val="2"/>
          <w:sz w:val="32"/>
          <w:szCs w:val="32"/>
          <w:lang w:val="en-US" w:eastAsia="zh-CN" w:bidi="ar"/>
        </w:rPr>
        <w:t>（</w:t>
      </w:r>
      <w:r>
        <w:rPr>
          <w:rFonts w:hint="default" w:ascii="仿宋_GB2312" w:hAnsi="Calibri" w:eastAsia="仿宋_GB2312" w:cs="仿宋_GB2312"/>
          <w:b w:val="0"/>
          <w:bCs w:val="0"/>
          <w:color w:val="auto"/>
          <w:kern w:val="2"/>
          <w:sz w:val="32"/>
          <w:szCs w:val="32"/>
          <w:lang w:eastAsia="zh-CN" w:bidi="ar"/>
        </w:rPr>
        <w:t>三</w:t>
      </w:r>
      <w:r>
        <w:rPr>
          <w:rFonts w:hint="eastAsia" w:ascii="仿宋_GB2312" w:hAnsi="Calibri" w:eastAsia="仿宋_GB2312" w:cs="仿宋_GB2312"/>
          <w:b w:val="0"/>
          <w:bCs w:val="0"/>
          <w:color w:val="auto"/>
          <w:kern w:val="2"/>
          <w:sz w:val="32"/>
          <w:szCs w:val="32"/>
          <w:lang w:val="en-US" w:eastAsia="zh-CN" w:bidi="ar"/>
        </w:rPr>
        <w:t>）公安机关依据相关规定为参保人更正出生日期，参保人向社保经办机构申请更改年龄的，自参保人提出申请的次月起按更改后的年龄确定相应待遇，不溯及既往。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w:t>
      </w:r>
      <w:r>
        <w:rPr>
          <w:rFonts w:hint="default" w:ascii="仿宋_GB2312" w:hAnsi="仿宋_GB2312" w:eastAsia="仿宋_GB2312" w:cs="仿宋_GB2312"/>
          <w:color w:val="auto"/>
          <w:kern w:val="2"/>
          <w:sz w:val="32"/>
          <w:szCs w:val="32"/>
          <w:lang w:eastAsia="zh-CN" w:bidi="ar"/>
        </w:rPr>
        <w:t>四</w:t>
      </w:r>
      <w:r>
        <w:rPr>
          <w:rFonts w:hint="eastAsia" w:ascii="仿宋_GB2312" w:hAnsi="仿宋_GB2312" w:eastAsia="仿宋_GB2312" w:cs="仿宋_GB2312"/>
          <w:color w:val="auto"/>
          <w:kern w:val="2"/>
          <w:sz w:val="32"/>
          <w:szCs w:val="32"/>
          <w:lang w:val="en-US" w:eastAsia="zh-CN" w:bidi="ar"/>
        </w:rPr>
        <w:t>）除提前领取待遇的重度残疾人个人账户养老金及超过60周岁的被征地农民因征地产生的社会养老保障资金计发系数外，居民养老保险个人账户养老金的月计发系数一律按139计算。已按其他系数计发待遇的不再调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w:t>
      </w:r>
      <w:r>
        <w:rPr>
          <w:rFonts w:hint="default" w:ascii="仿宋_GB2312" w:hAnsi="仿宋_GB2312" w:eastAsia="仿宋_GB2312" w:cs="仿宋_GB2312"/>
          <w:color w:val="auto"/>
          <w:kern w:val="2"/>
          <w:sz w:val="32"/>
          <w:szCs w:val="32"/>
          <w:lang w:eastAsia="zh-CN" w:bidi="ar"/>
        </w:rPr>
        <w:t>五</w:t>
      </w:r>
      <w:r>
        <w:rPr>
          <w:rFonts w:hint="eastAsia" w:ascii="仿宋_GB2312" w:hAnsi="仿宋_GB2312" w:eastAsia="仿宋_GB2312" w:cs="仿宋_GB2312"/>
          <w:color w:val="auto"/>
          <w:kern w:val="2"/>
          <w:sz w:val="32"/>
          <w:szCs w:val="32"/>
          <w:lang w:val="en-US" w:eastAsia="zh-CN" w:bidi="ar"/>
        </w:rPr>
        <w:t>）重度残疾人申请提前领取待遇的，自办理待遇领取手续的次月起领取待遇，之前待遇不予补发。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b/>
          <w:bCs/>
          <w:color w:val="auto"/>
          <w:szCs w:val="32"/>
          <w:lang w:val="en-US"/>
        </w:rPr>
      </w:pPr>
      <w:r>
        <w:rPr>
          <w:rFonts w:hint="eastAsia" w:ascii="仿宋_GB2312" w:hAnsi="仿宋_GB2312" w:eastAsia="仿宋_GB2312" w:cs="仿宋_GB2312"/>
          <w:color w:val="auto"/>
          <w:kern w:val="2"/>
          <w:sz w:val="32"/>
          <w:szCs w:val="32"/>
          <w:lang w:val="en-US" w:eastAsia="zh-CN" w:bidi="ar"/>
        </w:rPr>
        <w:t>本通知自印发之日起执行。已有规定与本通知不一致的，按本通知执行。</w:t>
      </w:r>
      <w:r>
        <w:rPr>
          <w:rFonts w:hint="eastAsia" w:ascii="仿宋_GB2312" w:hAnsi="Calibri" w:eastAsia="仿宋_GB2312" w:cs="仿宋_GB2312"/>
          <w:b w:val="0"/>
          <w:bCs w:val="0"/>
          <w:color w:val="auto"/>
          <w:kern w:val="2"/>
          <w:sz w:val="32"/>
          <w:szCs w:val="32"/>
          <w:lang w:val="en-US" w:eastAsia="zh-CN" w:bidi="ar"/>
        </w:rPr>
        <w:t>国家出台新规定的，从其规定。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32" w:firstLineChars="200"/>
        <w:jc w:val="both"/>
        <w:textAlignment w:val="auto"/>
        <w:outlineLvl w:val="9"/>
        <w:rPr>
          <w:rFonts w:hint="eastAsia" w:ascii="仿宋_GB2312" w:hAnsi="仿宋_GB2312" w:eastAsia="仿宋_GB2312" w:cs="仿宋_GB2312"/>
          <w:color w:val="auto"/>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32" w:firstLineChars="200"/>
        <w:jc w:val="both"/>
        <w:textAlignment w:val="auto"/>
        <w:outlineLvl w:val="9"/>
        <w:rPr>
          <w:rFonts w:hint="eastAsia" w:ascii="仿宋_GB2312" w:hAnsi="仿宋_GB2312" w:eastAsia="仿宋_GB2312" w:cs="仿宋_GB2312"/>
          <w:color w:val="auto"/>
          <w:szCs w:val="32"/>
          <w:lang w:val="en-US"/>
        </w:rPr>
      </w:pPr>
    </w:p>
    <w:tbl>
      <w:tblPr>
        <w:tblStyle w:val="14"/>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vAlign w:val="center"/>
          </w:tcPr>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color w:val="auto"/>
                <w:vertAlign w:val="baseline"/>
                <w:lang w:val="en-US"/>
              </w:rPr>
            </w:pPr>
            <w:r>
              <w:rPr>
                <w:rFonts w:hint="eastAsia" w:ascii="仿宋_GB2312" w:hAnsi="仿宋_GB2312" w:eastAsia="仿宋_GB2312" w:cs="仿宋_GB2312"/>
                <w:color w:val="auto"/>
                <w:lang w:val="en-US" w:eastAsia="zh-CN"/>
              </w:rPr>
              <w:t>山东省人力资源和社会保障厅</w:t>
            </w:r>
          </w:p>
        </w:tc>
        <w:tc>
          <w:tcPr>
            <w:tcW w:w="4530" w:type="dxa"/>
            <w:vAlign w:val="center"/>
          </w:tcPr>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color w:val="auto"/>
                <w:vertAlign w:val="baseline"/>
                <w:lang w:val="en-US"/>
              </w:rPr>
            </w:pPr>
            <w:r>
              <w:rPr>
                <w:rFonts w:hint="eastAsia" w:ascii="仿宋_GB2312" w:hAnsi="仿宋_GB2312" w:eastAsia="仿宋_GB2312" w:cs="仿宋_GB2312"/>
                <w:color w:val="auto"/>
                <w:lang w:val="en-US" w:eastAsia="zh-CN"/>
              </w:rPr>
              <w:t>山东省财政厅</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0" w:firstLineChars="0"/>
        <w:textAlignment w:val="auto"/>
        <w:outlineLvl w:val="9"/>
        <w:rPr>
          <w:rFonts w:hint="eastAsia" w:ascii="仿宋_GB2312" w:hAnsi="仿宋_GB2312" w:eastAsia="仿宋_GB2312" w:cs="仿宋_GB2312"/>
          <w:color w:val="auto"/>
          <w:lang w:val="en-US" w:eastAsia="zh-CN"/>
        </w:rPr>
      </w:pPr>
    </w:p>
    <w:p>
      <w:pPr>
        <w:pStyle w:val="15"/>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0" w:firstLineChars="0"/>
        <w:textAlignment w:val="auto"/>
        <w:outlineLvl w:val="9"/>
        <w:rPr>
          <w:rFonts w:hint="default" w:ascii="仿宋_GB2312" w:hAnsi="仿宋_GB2312" w:eastAsia="仿宋_GB2312" w:cs="仿宋_GB2312"/>
          <w:color w:val="auto"/>
          <w:lang w:eastAsia="zh-CN"/>
        </w:rPr>
      </w:pPr>
      <w:r>
        <w:rPr>
          <w:rFonts w:hint="default" w:ascii="仿宋_GB2312" w:hAnsi="仿宋_GB2312" w:eastAsia="仿宋_GB2312" w:cs="仿宋_GB2312"/>
          <w:color w:val="auto"/>
          <w:lang w:eastAsia="zh-CN"/>
        </w:rPr>
        <w:t xml:space="preserve"> </w:t>
      </w:r>
    </w:p>
    <w:tbl>
      <w:tblPr>
        <w:tblStyle w:val="13"/>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vAlign w:val="center"/>
          </w:tcPr>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color w:val="auto"/>
                <w:vertAlign w:val="baseline"/>
                <w:lang w:val="en-US"/>
              </w:rPr>
            </w:pPr>
            <w:r>
              <w:rPr>
                <w:rFonts w:hint="eastAsia" w:ascii="仿宋_GB2312" w:hAnsi="仿宋_GB2312" w:eastAsia="仿宋_GB2312" w:cs="仿宋_GB2312"/>
                <w:color w:val="auto"/>
                <w:lang w:val="en-US" w:eastAsia="zh-CN"/>
              </w:rPr>
              <w:t>国家税务总局山东省税务局</w:t>
            </w:r>
          </w:p>
        </w:tc>
        <w:tc>
          <w:tcPr>
            <w:tcW w:w="4530" w:type="dxa"/>
            <w:vAlign w:val="center"/>
          </w:tcPr>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color w:val="auto"/>
                <w:vertAlign w:val="baseline"/>
                <w:lang w:val="en-US"/>
              </w:rPr>
            </w:pPr>
            <w:r>
              <w:rPr>
                <w:rFonts w:hint="eastAsia" w:ascii="仿宋_GB2312" w:hAnsi="仿宋_GB2312" w:eastAsia="仿宋_GB2312" w:cs="仿宋_GB2312"/>
                <w:color w:val="auto"/>
                <w:lang w:val="en-US" w:eastAsia="zh-CN"/>
              </w:rPr>
              <w:t>国家税务总局青岛市税务局</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 xml:space="preserve">                                  2022年11月14日</w:t>
      </w:r>
    </w:p>
    <w:p>
      <w:pPr>
        <w:pStyle w:val="15"/>
        <w:ind w:left="0" w:leftChars="0" w:firstLine="0" w:firstLineChars="0"/>
        <w:rPr>
          <w:rFonts w:hint="eastAsia" w:ascii="仿宋_GB2312" w:hAnsi="仿宋_GB2312" w:eastAsia="仿宋_GB2312" w:cs="仿宋_GB2312"/>
          <w:color w:val="auto"/>
          <w:kern w:val="2"/>
          <w:sz w:val="32"/>
          <w:szCs w:val="32"/>
          <w:lang w:val="en-US" w:eastAsia="zh-CN" w:bidi="ar"/>
        </w:rPr>
      </w:pPr>
    </w:p>
    <w:p>
      <w:pPr>
        <w:pStyle w:val="15"/>
        <w:ind w:left="0" w:leftChars="0" w:firstLine="631" w:firstLineChars="0"/>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（此件主动公开）</w:t>
      </w:r>
    </w:p>
    <w:p>
      <w:pPr>
        <w:pStyle w:val="15"/>
        <w:ind w:left="0" w:leftChars="0" w:firstLine="631" w:firstLineChars="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Cs/>
          <w:sz w:val="32"/>
          <w:szCs w:val="32"/>
          <w:lang w:val="en-US" w:eastAsia="zh-CN"/>
        </w:rPr>
        <w:t>联系单位：省人力资源社会保障厅养老保险处）</w:t>
      </w:r>
    </w:p>
    <w:p>
      <w:pPr>
        <w:pStyle w:val="15"/>
        <w:rPr>
          <w:rFonts w:hint="eastAsia" w:ascii="仿宋_GB2312" w:hAnsi="仿宋_GB2312" w:eastAsia="仿宋_GB2312" w:cs="仿宋_GB2312"/>
          <w:bCs/>
          <w:sz w:val="32"/>
          <w:szCs w:val="32"/>
          <w:lang w:val="en-US" w:eastAsia="zh-CN"/>
        </w:rPr>
      </w:pPr>
    </w:p>
    <w:p>
      <w:pPr>
        <w:pStyle w:val="15"/>
        <w:rPr>
          <w:rFonts w:hint="eastAsia" w:ascii="仿宋_GB2312" w:hAnsi="仿宋_GB2312" w:eastAsia="仿宋_GB2312" w:cs="仿宋_GB2312"/>
          <w:bCs/>
          <w:sz w:val="32"/>
          <w:szCs w:val="32"/>
          <w:lang w:val="en-US" w:eastAsia="zh-CN"/>
        </w:rPr>
      </w:pPr>
    </w:p>
    <w:p>
      <w:pPr>
        <w:pStyle w:val="15"/>
        <w:rPr>
          <w:rFonts w:hint="eastAsia" w:ascii="仿宋_GB2312" w:hAnsi="仿宋_GB2312" w:eastAsia="仿宋_GB2312" w:cs="仿宋_GB2312"/>
          <w:bCs/>
          <w:sz w:val="32"/>
          <w:szCs w:val="32"/>
          <w:lang w:val="en-US" w:eastAsia="zh-CN"/>
        </w:rPr>
        <w:sectPr>
          <w:footerReference r:id="rId3" w:type="default"/>
          <w:pgSz w:w="11906" w:h="16838"/>
          <w:pgMar w:top="2098" w:right="1531" w:bottom="1814" w:left="1531" w:header="851" w:footer="1587" w:gutter="0"/>
          <w:paperSrc/>
          <w:cols w:space="0" w:num="1"/>
          <w:rtlGutter w:val="0"/>
          <w:docGrid w:type="linesAndChars" w:linePitch="587" w:charSpace="-849"/>
        </w:sect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bookmarkStart w:id="0" w:name="_GoBack"/>
      <w:bookmarkEnd w:id="0"/>
    </w:p>
    <w:p>
      <w:pPr>
        <w:pStyle w:val="15"/>
        <w:ind w:left="0" w:leftChars="0" w:firstLine="0" w:firstLineChars="0"/>
        <w:rPr>
          <w:rFonts w:hint="eastAsia" w:ascii="仿宋_GB2312" w:hAnsi="仿宋_GB2312" w:eastAsia="仿宋_GB2312" w:cs="仿宋_GB2312"/>
          <w:bCs/>
          <w:sz w:val="32"/>
          <w:szCs w:val="32"/>
          <w:lang w:val="en-US" w:eastAsia="zh-CN"/>
        </w:rPr>
      </w:pPr>
    </w:p>
    <w:p>
      <w:pPr>
        <w:ind w:firstLine="316" w:firstLineChars="100"/>
        <w:rPr>
          <w:rFonts w:hint="eastAsia" w:ascii="仿宋_GB2312" w:eastAsia="仿宋_GB2312"/>
          <w:color w:val="auto"/>
          <w:sz w:val="28"/>
          <w:szCs w:val="28"/>
        </w:rPr>
      </w:pPr>
      <w:r>
        <w:rPr>
          <w:rFonts w:hint="eastAsia" w:ascii="Calibri"/>
          <w:color w:val="auto"/>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-4445</wp:posOffset>
                </wp:positionV>
                <wp:extent cx="5615940" cy="0"/>
                <wp:effectExtent l="0" t="0" r="0" b="0"/>
                <wp:wrapNone/>
                <wp:docPr id="2" name="直接连接符 1"/>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round/>
                          <a:headEnd type="none" w="med" len="med"/>
                          <a:tailEnd type="none" w="med" len="med"/>
                        </a:ln>
                      </wps:spPr>
                      <wps:bodyPr upright="1"/>
                    </wps:wsp>
                  </a:graphicData>
                </a:graphic>
              </wp:anchor>
            </w:drawing>
          </mc:Choice>
          <mc:Fallback>
            <w:pict>
              <v:line id="直接连接符 1" o:spid="_x0000_s1026" o:spt="20" style="position:absolute;left:0pt;margin-top:-0.35pt;height:0pt;width:442.2pt;mso-position-horizontal:center;z-index:251663360;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CeVQeg3wEAAKEDAAAOAAAAZHJzL2Uyb0RvYy54bWytU0uOEzEQ&#10;3SNxB8t70smIDEMrnVkQhg2CkQYOUPGn25J/cjnp5BJcAIkdrFiy5zYMx6DsZDJ8NgjRi+qyq+q5&#10;3nN5cblzlm1VQhN8x2eTKWfKiyCN7zv+9s3VowvOMIOXYINXHd8r5JfLhw8WY2zVWRiClSoxAvHY&#10;jrHjQ86xbRoUg3KAkxCVp6AOyUGmZeobmWAkdGebs+n0vBlDkjEFoRBpd3UI8mXF11qJ/FprVJnZ&#10;jlNvudpU7brYZrmAtk8QByOObcA/dOHAeDr0BLWCDGyTzB9QzogUMOg8EcE1QWsjVOVAbGbT39jc&#10;DBBV5ULiYDzJhP8PVrzaXidmZMfPOPPg6Ipu33/59u7j968fyN5+/sRmRaQxYku5N/E6HVdIbmG8&#10;08mVP3Fhuyrs/iSs2mUmaHN+Pps/fUz6i7tYc18YE+YXKjhWnI5b4wtnaGH7EjMdRql3KWXbejbS&#10;pM0vnswJD2hmtIVMrovEAn1fizFYI6+MtaUEU79+ZhPbQpmC+hVOBPxLWjllBTgc8mroMB8pbLyk&#10;AmgHBfK5lyzvIynlaaR56cYpyZlV9AKKVzMzGPs3mdSE9dRLEfggafHWQe7pXjYxmX4gUeod1Bya&#10;g9r5cWbLoP28rkj3L2v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NsjrzUAAAABAEAAA8AAAAA&#10;AAAAAQAgAAAAIgAAAGRycy9kb3ducmV2LnhtbFBLAQIUABQAAAAIAIdO4kCeVQeg3wEAAKEDAAAO&#10;AAAAAAAAAAEAIAAAACMBAABkcnMvZTJvRG9jLnhtbFBLBQYAAAAABgAGAFkBAAB0BQAAAAA=&#10;">
                <v:path arrowok="t"/>
                <v:fill on="f" focussize="0,0"/>
                <v:stroke weight="1.25pt" joinstyle="round"/>
                <v:imagedata o:title=""/>
                <o:lock v:ext="edit" aspectratio="f"/>
              </v:line>
            </w:pict>
          </mc:Fallback>
        </mc:AlternateContent>
      </w:r>
      <w:r>
        <w:rPr>
          <w:rFonts w:hint="eastAsia" w:ascii="Calibri"/>
          <w:color w:val="auto"/>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374015</wp:posOffset>
                </wp:positionV>
                <wp:extent cx="5615940" cy="0"/>
                <wp:effectExtent l="0" t="0" r="0" b="0"/>
                <wp:wrapNone/>
                <wp:docPr id="3"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top:29.45pt;height:0pt;width:442.2pt;mso-position-horizontal:center;z-index:251662336;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F0nn23eAQAApQMAAA4AAABkcnMvZTJvRG9jLnhtbK1TS44T&#10;MRDdI3EHy3vSSWAGaKUziwnDBkEk4AAVf7ot+SeXJ51cggsgsYMVS/bchuEYlJ1MGGCDEL1wl11V&#10;z/Vev15c7JxlW5XQBN/x2WTKmfIiSOP7jr99c/XgCWeYwUuwwauO7xXyi+X9e4sxtmoehmClSoxA&#10;PLZj7PiQc2ybBsWgHOAkROUpqUNykGmb+kYmGAnd2WY+nZ43Y0gypiAUIp2uDkm+rPhaK5FfaY0q&#10;M9txmi3XNdV1U9ZmuYC2TxAHI45jwD9M4cB4uvQEtYIM7DqZP6CcESlg0HkigmuC1kaoyoHYzKa/&#10;sXk9QFSVC4mD8SQT/j9Y8XK7TszIjj/kzIOjT3Tz/su3dx+/f/1A683nT2xeRBojtlR76dfpuMO4&#10;ToXxTidX3sSF7aqw+5OwapeZoMOz89nZ00ekv7jNNT8bY8L8XAXHStBxa3zhDC1sX2Cmy6j0tqQc&#10;W89Gctr88bTgAXlGW8gUukgs0Pe1GYM18spYW1ow9ZtLm9gWigvqUzgR8C9l5ZYV4HCoq6mDPwYF&#10;8pmXLO8j6ePJyLzM4JTkzCryfYkIENoMxv5NJV1tfWlQ1aNHokXkg6wl2gS5p29zHZPpBxJmVmcu&#10;GfJCnf7o22K2u3uK7/5dy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JAtt1gAAAAYBAAAPAAAA&#10;AAAAAAEAIAAAACIAAABkcnMvZG93bnJldi54bWxQSwECFAAUAAAACACHTuJAXSefbd4BAAClAwAA&#10;DgAAAAAAAAABACAAAAAlAQAAZHJzL2Uyb0RvYy54bWxQSwUGAAAAAAYABgBZAQAAdQUAAAAA&#10;">
                <v:path arrowok="t"/>
                <v:fill on="f" focussize="0,0"/>
                <v:stroke weight="1pt"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月日印发</w:t>
      </w:r>
    </w:p>
    <w:p>
      <w:pPr>
        <w:ind w:right="552" w:firstLine="316" w:firstLineChars="100"/>
        <w:rPr>
          <w:rFonts w:hint="eastAsia" w:eastAsia="仿宋_GB2312"/>
          <w:color w:val="auto"/>
          <w:lang w:eastAsia="zh-CN"/>
        </w:rPr>
      </w:pPr>
      <w:r>
        <w:rPr>
          <w:rFonts w:hint="eastAsia" w:ascii="Calibri"/>
          <w:color w:val="auto"/>
          <w:szCs w:val="22"/>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351790</wp:posOffset>
                </wp:positionV>
                <wp:extent cx="5615940" cy="0"/>
                <wp:effectExtent l="0" t="0" r="0" b="0"/>
                <wp:wrapNone/>
                <wp:docPr id="6"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接连接符 3" o:spid="_x0000_s1026" o:spt="20" style="position:absolute;left:0pt;margin-top:27.7pt;height:0pt;width:442.2pt;mso-position-horizontal:center;z-index:251664384;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OfbJ4vhAQAApQMAAA4AAABkcnMvZTJvRG9jLnhtbK1TzW4T&#10;MRC+I/UdLN+bTQoJ7SqbHhrKBUEk4AEmtnfXkv/kcbPJS/ACSNzgxJF734byGIydNC1wQYg9eMee&#10;mc/zffvt/HJrDduoiNq7hk9GY86UE15q1zX8/bvr03POMIGTYLxTDd8p5JeLkyfzIdTqzPfeSBUZ&#10;gTish9DwPqVQVxWKXlnAkQ/KUbL10UKibewqGWEgdGuqs/F4Vg0+yhC9UIh0utwn+aLgt60S6U3b&#10;okrMNJxmS2WNZV3ntVrMoe4ihF6LwxjwD1NY0I4uPUItIQG7ifoPKKtF9OjbNBLeVr5ttVCFA7GZ&#10;jH9j87aHoAoXEgfDUSb8f7Di9WYVmZYNn3HmwNInuvv47fuHzz9uP9F69/ULe5pFGgLWVHvlVvGw&#10;w7CKmfG2jTa/iQvbFmF3R2HVNjFBh9PZZHrxjPQX97nqoTFETC+VtywHDTfaZc5Qw+YVJrqMSu9L&#10;8rFxbCCnTc+fTwkPyDOtgUShDcQCXVea0Rstr7UxuQVjt74ykW0gu6A8mRMB/1KWb1kC9vu6ktr7&#10;o1cgXzjJ0i6QPo6MzPMMVknOjCLf54gAoU6gzd9U0tXG5QZVPHogmkXey5qjtZc7+jY3IequJ2Em&#10;ZeacIS+U6Q++zWZ7vKf48d+1+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rRCJ1gAAAAYBAAAP&#10;AAAAAAAAAAEAIAAAACIAAABkcnMvZG93bnJldi54bWxQSwECFAAUAAAACACHTuJA59sni+EBAACl&#10;AwAADgAAAAAAAAABACAAAAAlAQAAZHJzL2Uyb0RvYy54bWxQSwUGAAAAAAYABgBZAQAAeAUAAAAA&#10;">
                <v:path arrowok="t"/>
                <v:fill on="f" focussize="0,0"/>
                <v:stroke weight="1.25pt"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吴爱梅</w:t>
      </w:r>
    </w:p>
    <w:p>
      <w:pPr>
        <w:pStyle w:val="15"/>
        <w:ind w:left="0" w:leftChars="0" w:firstLine="0" w:firstLineChars="0"/>
        <w:rPr>
          <w:rFonts w:hint="eastAsia" w:ascii="仿宋_GB2312" w:hAnsi="仿宋_GB2312" w:eastAsia="仿宋_GB2312" w:cs="仿宋_GB2312"/>
          <w:bCs/>
          <w:sz w:val="32"/>
          <w:szCs w:val="32"/>
          <w:lang w:val="en-US" w:eastAsia="zh-CN"/>
        </w:rPr>
      </w:pPr>
    </w:p>
    <w:sectPr>
      <w:pgSz w:w="11906" w:h="16838"/>
      <w:pgMar w:top="2098" w:right="1531" w:bottom="1814" w:left="1531" w:header="851" w:footer="1587" w:gutter="0"/>
      <w:paperSrc/>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287" w:usb1="00000000" w:usb2="00000000" w:usb3="00000000" w:csb0="4000009F" w:csb1="DFD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文星标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D3"/>
    <w:rsid w:val="000658AF"/>
    <w:rsid w:val="000B7CAD"/>
    <w:rsid w:val="000D5852"/>
    <w:rsid w:val="00270B02"/>
    <w:rsid w:val="003F0519"/>
    <w:rsid w:val="004579E6"/>
    <w:rsid w:val="00460B0B"/>
    <w:rsid w:val="005F73D3"/>
    <w:rsid w:val="00826C99"/>
    <w:rsid w:val="009C5392"/>
    <w:rsid w:val="00BE17F5"/>
    <w:rsid w:val="00C20D20"/>
    <w:rsid w:val="00DA14F2"/>
    <w:rsid w:val="00DA69C2"/>
    <w:rsid w:val="00DB7767"/>
    <w:rsid w:val="00DC12AE"/>
    <w:rsid w:val="00DE3FA3"/>
    <w:rsid w:val="00EE7B0D"/>
    <w:rsid w:val="00F73743"/>
    <w:rsid w:val="04986A18"/>
    <w:rsid w:val="04E03F5E"/>
    <w:rsid w:val="07334A68"/>
    <w:rsid w:val="077332D3"/>
    <w:rsid w:val="0CAB115C"/>
    <w:rsid w:val="15712941"/>
    <w:rsid w:val="1C2E2D88"/>
    <w:rsid w:val="1CA86F95"/>
    <w:rsid w:val="1FF3439A"/>
    <w:rsid w:val="20605711"/>
    <w:rsid w:val="2295231C"/>
    <w:rsid w:val="238A43EC"/>
    <w:rsid w:val="25B711D2"/>
    <w:rsid w:val="2A2040CA"/>
    <w:rsid w:val="2B187613"/>
    <w:rsid w:val="2D865EEB"/>
    <w:rsid w:val="2DBD699C"/>
    <w:rsid w:val="320C4097"/>
    <w:rsid w:val="35C310CC"/>
    <w:rsid w:val="35D3712A"/>
    <w:rsid w:val="39A509BC"/>
    <w:rsid w:val="3A325F72"/>
    <w:rsid w:val="3DEF1731"/>
    <w:rsid w:val="3E2A10A6"/>
    <w:rsid w:val="40525E63"/>
    <w:rsid w:val="41561E1E"/>
    <w:rsid w:val="48047CC1"/>
    <w:rsid w:val="48CA1A1D"/>
    <w:rsid w:val="4BA175B3"/>
    <w:rsid w:val="4E9F2BF4"/>
    <w:rsid w:val="512007A8"/>
    <w:rsid w:val="54C967CD"/>
    <w:rsid w:val="56AD3AAD"/>
    <w:rsid w:val="58230A9F"/>
    <w:rsid w:val="5F004CA6"/>
    <w:rsid w:val="61C3658E"/>
    <w:rsid w:val="6287332D"/>
    <w:rsid w:val="6408720A"/>
    <w:rsid w:val="6525559E"/>
    <w:rsid w:val="67C07DDF"/>
    <w:rsid w:val="694E2DA1"/>
    <w:rsid w:val="6A9C5377"/>
    <w:rsid w:val="6AF52C89"/>
    <w:rsid w:val="6D1B5CC9"/>
    <w:rsid w:val="6F7764DA"/>
    <w:rsid w:val="73555F69"/>
    <w:rsid w:val="73FA9BDF"/>
    <w:rsid w:val="74BB342C"/>
    <w:rsid w:val="775E2F37"/>
    <w:rsid w:val="78CA2AF6"/>
    <w:rsid w:val="7D223385"/>
    <w:rsid w:val="7D744473"/>
    <w:rsid w:val="7FBFF232"/>
    <w:rsid w:val="7FFFA692"/>
    <w:rsid w:val="9AFA696D"/>
    <w:rsid w:val="EBD33D38"/>
    <w:rsid w:val="FBBFFF1D"/>
    <w:rsid w:val="FF7D3F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uiPriority w:val="0"/>
    <w:pPr>
      <w:ind w:firstLine="420" w:firstLineChars="200"/>
    </w:pPr>
  </w:style>
  <w:style w:type="paragraph" w:styleId="3">
    <w:name w:val="Body Text Indent"/>
    <w:basedOn w:val="1"/>
    <w:uiPriority w:val="0"/>
    <w:pPr>
      <w:ind w:left="420" w:leftChars="200"/>
    </w:pPr>
  </w:style>
  <w:style w:type="paragraph" w:customStyle="1" w:styleId="4">
    <w:name w:val="Default"/>
    <w:qFormat/>
    <w:uiPriority w:val="0"/>
    <w:pPr>
      <w:widowControl w:val="0"/>
      <w:autoSpaceDE w:val="0"/>
      <w:autoSpaceDN w:val="0"/>
      <w:adjustRightInd w:val="0"/>
    </w:pPr>
    <w:rPr>
      <w:rFonts w:ascii="黑体" w:eastAsia="黑体" w:cs="黑体"/>
      <w:color w:val="000000"/>
      <w:sz w:val="32"/>
      <w:szCs w:val="24"/>
      <w:lang w:val="en-US" w:eastAsia="zh-CN" w:bidi="ar-SA"/>
    </w:rPr>
  </w:style>
  <w:style w:type="paragraph" w:styleId="5">
    <w:name w:val="index 5"/>
    <w:basedOn w:val="1"/>
    <w:next w:val="1"/>
    <w:qFormat/>
    <w:uiPriority w:val="0"/>
    <w:pPr>
      <w:ind w:left="1680"/>
    </w:pPr>
  </w:style>
  <w:style w:type="paragraph" w:styleId="6">
    <w:name w:val="Body Text"/>
    <w:basedOn w:val="1"/>
    <w:next w:val="7"/>
    <w:qFormat/>
    <w:uiPriority w:val="0"/>
    <w:pPr>
      <w:spacing w:after="120"/>
    </w:pPr>
  </w:style>
  <w:style w:type="paragraph" w:styleId="7">
    <w:name w:val="toc 2"/>
    <w:basedOn w:val="1"/>
    <w:next w:val="1"/>
    <w:qFormat/>
    <w:uiPriority w:val="0"/>
    <w:pPr>
      <w:ind w:left="420" w:leftChars="200" w:firstLine="560" w:firstLineChars="200"/>
      <w:jc w:val="left"/>
    </w:pPr>
    <w:rPr>
      <w:rFonts w:ascii="Times New Roman" w:hAnsi="Times New Roman"/>
      <w:sz w:val="28"/>
    </w:rPr>
  </w:style>
  <w:style w:type="paragraph" w:styleId="8">
    <w:name w:val="footer"/>
    <w:basedOn w:val="1"/>
    <w:next w:val="5"/>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32"/>
      <w:szCs w:val="32"/>
      <w:lang w:val="en-US" w:eastAsia="zh-CN" w:bidi="ar-SA"/>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Body Text First Indent1"/>
    <w:basedOn w:val="6"/>
    <w:qFormat/>
    <w:uiPriority w:val="0"/>
    <w:pPr>
      <w:widowControl/>
      <w:spacing w:after="0"/>
      <w:ind w:firstLine="420" w:firstLineChars="100"/>
      <w:textAlignment w:val="baseline"/>
    </w:pPr>
    <w:rPr>
      <w:rFonts w:ascii="Calibri" w:hAnsi="Calibri" w:eastAsia="宋体" w:cs="Times New Roman"/>
      <w:szCs w:val="20"/>
    </w:rPr>
  </w:style>
  <w:style w:type="character" w:customStyle="1" w:styleId="16">
    <w:name w:val="10"/>
    <w:basedOn w:val="11"/>
    <w:qFormat/>
    <w:uiPriority w:val="0"/>
    <w:rPr>
      <w:rFonts w:hint="default" w:ascii="Times New Roman" w:hAnsi="Times New Roman" w:cs="Times New Roman"/>
    </w:rPr>
  </w:style>
  <w:style w:type="character" w:customStyle="1" w:styleId="17">
    <w:name w:val="15"/>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29C4E-060F-4F18-9D21-D8D41D900389}">
  <ds:schemaRefs/>
</ds:datastoreItem>
</file>

<file path=docProps/app.xml><?xml version="1.0" encoding="utf-8"?>
<Properties xmlns="http://schemas.openxmlformats.org/officeDocument/2006/extended-properties" xmlns:vt="http://schemas.openxmlformats.org/officeDocument/2006/docPropsVTypes">
  <Pages>1</Pages>
  <Words>290</Words>
  <Characters>1659</Characters>
  <Lines>1</Lines>
  <Paragraphs>1</Paragraphs>
  <TotalTime>0</TotalTime>
  <ScaleCrop>false</ScaleCrop>
  <LinksUpToDate>false</LinksUpToDate>
  <CharactersWithSpaces>1946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2022-09-25T10:24:00Z</dcterms:created>
  <dc:creator>Administrator</dc:creator>
  <cp:lastModifiedBy>LTGX04</cp:lastModifiedBy>
  <cp:lastPrinted>2022-11-10T09:22:00Z</cp:lastPrinted>
  <dcterms:modified xsi:type="dcterms:W3CDTF">2022-11-14T09:05:24Z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