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附件15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恢复工伤认定通知书</w:t>
      </w:r>
    </w:p>
    <w:p>
      <w:pPr>
        <w:spacing w:line="64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（202X）川“地区简称”工复XXXX号</w:t>
      </w:r>
    </w:p>
    <w:p>
      <w:pPr>
        <w:spacing w:line="64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因（</w:t>
      </w:r>
      <w:r>
        <w:rPr>
          <w:rFonts w:eastAsia="仿宋_GB2312"/>
          <w:color w:val="000000"/>
          <w:sz w:val="32"/>
          <w:szCs w:val="32"/>
          <w:u w:val="single"/>
        </w:rPr>
        <w:t>中止原因</w:t>
      </w:r>
      <w:r>
        <w:rPr>
          <w:rFonts w:eastAsia="仿宋_GB2312"/>
          <w:color w:val="000000"/>
          <w:sz w:val="32"/>
          <w:szCs w:val="32"/>
        </w:rPr>
        <w:t>），我局于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日中止了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的工伤认定申请。现中止情形已消除，根据《四川省工伤保险条例》第二十条第二款规定，我局决定从即日起恢复对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）的</w:t>
      </w:r>
      <w:r>
        <w:rPr>
          <w:rFonts w:eastAsia="仿宋_GB2312"/>
          <w:color w:val="000000"/>
          <w:sz w:val="32"/>
          <w:szCs w:val="32"/>
        </w:rPr>
        <w:t>工伤认定程序。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tabs>
          <w:tab w:val="left" w:pos="5745"/>
        </w:tabs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</w:t>
      </w:r>
    </w:p>
    <w:p>
      <w:pPr>
        <w:spacing w:line="560" w:lineRule="exact"/>
        <w:ind w:right="105" w:rightChars="5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 w:firstLine="56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r>
        <w:rPr>
          <w:rFonts w:eastAsia="方正小标宋简体"/>
          <w:color w:val="000000"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6035"/>
    <w:rsid w:val="1B2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黄浩琳</cp:lastModifiedBy>
  <dcterms:modified xsi:type="dcterms:W3CDTF">2021-02-25T09:28:29Z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