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08" w:lineRule="auto"/>
        <w:ind w:firstLine="220"/>
        <w:rPr>
          <w:rFonts w:ascii="等线" w:hAnsi="等线" w:eastAsia="等线" w:cs="等线"/>
          <w:sz w:val="26"/>
          <w:szCs w:val="26"/>
        </w:rPr>
      </w:pPr>
      <w:r>
        <w:rPr>
          <w:rFonts w:ascii="等线" w:hAnsi="等线" w:eastAsia="等线" w:cs="等线"/>
          <w:spacing w:val="-13"/>
          <w:sz w:val="26"/>
          <w:szCs w:val="26"/>
        </w:rPr>
        <w:t>附</w:t>
      </w:r>
      <w:r>
        <w:rPr>
          <w:rFonts w:ascii="等线" w:hAnsi="等线" w:eastAsia="等线" w:cs="等线"/>
          <w:spacing w:val="11"/>
          <w:sz w:val="26"/>
          <w:szCs w:val="26"/>
        </w:rPr>
        <w:t xml:space="preserve"> </w:t>
      </w:r>
      <w:r>
        <w:rPr>
          <w:rFonts w:ascii="等线" w:hAnsi="等线" w:eastAsia="等线" w:cs="等线"/>
          <w:spacing w:val="-13"/>
          <w:sz w:val="26"/>
          <w:szCs w:val="26"/>
        </w:rPr>
        <w:t>件</w:t>
      </w:r>
      <w:r>
        <w:rPr>
          <w:rFonts w:ascii="等线" w:hAnsi="等线" w:eastAsia="等线" w:cs="等线"/>
          <w:spacing w:val="1"/>
          <w:sz w:val="26"/>
          <w:szCs w:val="26"/>
        </w:rPr>
        <w:t xml:space="preserve">   </w:t>
      </w:r>
      <w:r>
        <w:rPr>
          <w:rFonts w:ascii="等线" w:hAnsi="等线" w:eastAsia="等线" w:cs="等线"/>
          <w:spacing w:val="-13"/>
          <w:sz w:val="26"/>
          <w:szCs w:val="26"/>
        </w:rPr>
        <w:t>2</w:t>
      </w:r>
    </w:p>
    <w:p>
      <w:pPr>
        <w:spacing w:before="112" w:line="626" w:lineRule="exact"/>
        <w:ind w:firstLine="1929"/>
        <w:rPr>
          <w:rFonts w:ascii="等线" w:hAnsi="等线" w:eastAsia="等线" w:cs="等线"/>
          <w:sz w:val="44"/>
          <w:szCs w:val="44"/>
        </w:rPr>
      </w:pPr>
      <w:bookmarkStart w:id="0" w:name="_GoBack"/>
      <w:r>
        <w:rPr>
          <w:rFonts w:ascii="等线" w:hAnsi="等线" w:eastAsia="等线" w:cs="等线"/>
          <w:spacing w:val="-14"/>
          <w:position w:val="5"/>
          <w:sz w:val="44"/>
          <w:szCs w:val="44"/>
        </w:rPr>
        <w:t>河南省人力资源社会保障轻微违法行为不予行政处罚清单</w:t>
      </w:r>
    </w:p>
    <w:bookmarkEnd w:id="0"/>
    <w:p>
      <w:pPr>
        <w:spacing w:before="140" w:line="225" w:lineRule="auto"/>
        <w:ind w:firstLine="6329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9"/>
          <w:sz w:val="26"/>
          <w:szCs w:val="26"/>
        </w:rPr>
        <w:t>（2021</w:t>
      </w:r>
      <w:r>
        <w:rPr>
          <w:rFonts w:ascii="楷体" w:hAnsi="楷体" w:eastAsia="楷体" w:cs="楷体"/>
          <w:spacing w:val="57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9"/>
          <w:sz w:val="26"/>
          <w:szCs w:val="26"/>
        </w:rPr>
        <w:t>年版）</w:t>
      </w:r>
    </w:p>
    <w:p/>
    <w:p/>
    <w:p>
      <w:pPr>
        <w:spacing w:line="124" w:lineRule="exact"/>
      </w:pPr>
    </w:p>
    <w:tbl>
      <w:tblPr>
        <w:tblStyle w:val="4"/>
        <w:tblW w:w="1403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4064"/>
        <w:gridCol w:w="3725"/>
        <w:gridCol w:w="3804"/>
        <w:gridCol w:w="15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firstLine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4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firstLine="15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违法行为</w:t>
            </w:r>
          </w:p>
        </w:tc>
        <w:tc>
          <w:tcPr>
            <w:tcW w:w="3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firstLine="1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处罚标准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1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处罚依据</w:t>
            </w: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340" w:lineRule="exact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8"/>
                <w:sz w:val="22"/>
                <w:szCs w:val="22"/>
              </w:rPr>
              <w:t>不予处罚适</w:t>
            </w:r>
          </w:p>
          <w:p>
            <w:pPr>
              <w:spacing w:line="220" w:lineRule="auto"/>
              <w:ind w:firstLine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用情形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firstLine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4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18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用人单位发布虚假招聘广告</w:t>
            </w:r>
          </w:p>
        </w:tc>
        <w:tc>
          <w:tcPr>
            <w:tcW w:w="3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74" w:lineRule="auto"/>
              <w:ind w:left="136" w:righ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由劳动保障行政部门责令改正，并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可处以一千元以下的罚款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89" w:lineRule="auto"/>
              <w:ind w:left="131" w:hanging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《就业服务与就业管理规定》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动社会保障部令第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28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号）第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67条</w:t>
            </w: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19" w:lineRule="auto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及时改正的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firstLine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9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用人单位招用无合法身份证件的人员</w:t>
            </w:r>
          </w:p>
        </w:tc>
        <w:tc>
          <w:tcPr>
            <w:tcW w:w="3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50" w:lineRule="auto"/>
              <w:ind w:left="136" w:righ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由劳动保障行政部门责令改正，并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可处以一千元以下的罚款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73" w:lineRule="auto"/>
              <w:ind w:left="200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《就业服务与就业管理规定》</w:t>
            </w:r>
            <w:r>
              <w:rPr>
                <w:rFonts w:ascii="宋体" w:hAnsi="宋体" w:eastAsia="宋体" w:cs="宋体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动社会保障部令第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28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号）第67条</w:t>
            </w: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9" w:lineRule="auto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及时改正的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firstLine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66" w:lineRule="auto"/>
              <w:ind w:left="121" w:righ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用人单位以招用人员为名牟取不正当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利益或进行其他违法活动</w:t>
            </w:r>
          </w:p>
        </w:tc>
        <w:tc>
          <w:tcPr>
            <w:tcW w:w="3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74" w:lineRule="auto"/>
              <w:ind w:left="136" w:righ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由劳动保障行政部门责令改正，并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可处以一千元以下的罚款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49" w:lineRule="auto"/>
              <w:ind w:left="201" w:right="162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《就业服务与就业管理规定》（劳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动社会保障部令第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28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号）第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67条</w:t>
            </w: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19" w:lineRule="auto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及时改正的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firstLine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4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51" w:lineRule="auto"/>
              <w:ind w:left="100" w:right="386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用人单位违法在国家法律、行政法规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和国务院卫生行政部门规定禁止乙肝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病原携带者从事的工作岗位以外招用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人员时，将乙肝病毒血清学指标作为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体检标准</w:t>
            </w:r>
          </w:p>
        </w:tc>
        <w:tc>
          <w:tcPr>
            <w:tcW w:w="3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66" w:lineRule="auto"/>
              <w:ind w:left="136" w:righ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由劳动保障行政部门责令改正，并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可处以一千元以下的罚款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200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《就业服务与就业管理规定》</w:t>
            </w:r>
            <w:r>
              <w:rPr>
                <w:rFonts w:ascii="宋体" w:hAnsi="宋体" w:eastAsia="宋体" w:cs="宋体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动社会保障部令第28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号）第68条</w:t>
            </w: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及时改正的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2" w:line="181" w:lineRule="auto"/>
              <w:ind w:firstLine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51" w:lineRule="auto"/>
              <w:ind w:left="121" w:right="6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职业中介机构未明示职业中介许可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证、监督电话</w:t>
            </w:r>
          </w:p>
        </w:tc>
        <w:tc>
          <w:tcPr>
            <w:tcW w:w="3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50" w:lineRule="auto"/>
              <w:ind w:left="136" w:righ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由劳动保障行政部门责令改正，并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可处以一千元以下的罚款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58" w:lineRule="auto"/>
              <w:ind w:left="201" w:right="162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《就业服务与就业管理规定》（劳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动社会保障部令第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28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号）第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71条</w:t>
            </w: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及时改正的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2" w:line="194" w:lineRule="auto"/>
        <w:ind w:firstLine="118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—</w:t>
      </w:r>
      <w:r>
        <w:rPr>
          <w:rFonts w:ascii="Arial" w:hAnsi="Arial" w:eastAsia="Arial" w:cs="Arial"/>
          <w:spacing w:val="14"/>
          <w:w w:val="101"/>
          <w:sz w:val="18"/>
          <w:szCs w:val="18"/>
        </w:rPr>
        <w:t xml:space="preserve">   </w:t>
      </w:r>
      <w:r>
        <w:rPr>
          <w:rFonts w:ascii="Arial" w:hAnsi="Arial" w:eastAsia="Arial" w:cs="Arial"/>
          <w:spacing w:val="-3"/>
          <w:sz w:val="18"/>
          <w:szCs w:val="18"/>
        </w:rPr>
        <w:t>6</w:t>
      </w:r>
      <w:r>
        <w:rPr>
          <w:rFonts w:ascii="Arial" w:hAnsi="Arial" w:eastAsia="Arial" w:cs="Arial"/>
          <w:spacing w:val="6"/>
          <w:sz w:val="18"/>
          <w:szCs w:val="18"/>
        </w:rPr>
        <w:t xml:space="preserve">    </w:t>
      </w:r>
      <w:r>
        <w:rPr>
          <w:rFonts w:ascii="Arial" w:hAnsi="Arial" w:eastAsia="Arial" w:cs="Arial"/>
          <w:spacing w:val="-3"/>
          <w:sz w:val="18"/>
          <w:szCs w:val="18"/>
        </w:rPr>
        <w:t>—</w:t>
      </w:r>
    </w:p>
    <w:p>
      <w:pPr>
        <w:sectPr>
          <w:pgSz w:w="16830" w:h="12240"/>
          <w:pgMar w:top="1040" w:right="1300" w:bottom="400" w:left="1470" w:header="0" w:footer="0" w:gutter="0"/>
          <w:cols w:space="720" w:num="1"/>
        </w:sectPr>
      </w:pPr>
    </w:p>
    <w:p/>
    <w:p/>
    <w:p>
      <w:pPr>
        <w:spacing w:line="69" w:lineRule="auto"/>
        <w:rPr>
          <w:rFonts w:ascii="Arial"/>
          <w:sz w:val="2"/>
        </w:rPr>
      </w:pPr>
    </w:p>
    <w:tbl>
      <w:tblPr>
        <w:tblStyle w:val="4"/>
        <w:tblW w:w="1405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4084"/>
        <w:gridCol w:w="3734"/>
        <w:gridCol w:w="3794"/>
        <w:gridCol w:w="15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4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5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违法行为</w:t>
            </w:r>
          </w:p>
        </w:tc>
        <w:tc>
          <w:tcPr>
            <w:tcW w:w="3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4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处罚标准</w:t>
            </w:r>
          </w:p>
        </w:tc>
        <w:tc>
          <w:tcPr>
            <w:tcW w:w="3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4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处罚依据</w:t>
            </w:r>
          </w:p>
        </w:tc>
        <w:tc>
          <w:tcPr>
            <w:tcW w:w="1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56" w:lineRule="auto"/>
              <w:ind w:left="468" w:right="300" w:hanging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不予处罚适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用情形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firstLine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4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51" w:lineRule="auto"/>
              <w:ind w:left="111" w:right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职业中介机构未建立服务台账，或虽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建立服务台账但未记录服务对象、服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务过程、服务结果和收费情况的</w:t>
            </w:r>
          </w:p>
        </w:tc>
        <w:tc>
          <w:tcPr>
            <w:tcW w:w="3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279" w:lineRule="auto"/>
              <w:ind w:left="137" w:righ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由劳动保障行政部门责令改正，并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可处以一千元以下的罚款</w:t>
            </w:r>
          </w:p>
        </w:tc>
        <w:tc>
          <w:tcPr>
            <w:tcW w:w="3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47" w:lineRule="auto"/>
              <w:ind w:left="131" w:right="81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《就业服务与就业管理规定》（劳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动社会保障部令第28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号）第72条</w:t>
            </w:r>
          </w:p>
        </w:tc>
        <w:tc>
          <w:tcPr>
            <w:tcW w:w="1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及时改正的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47" w:lineRule="auto"/>
              <w:ind w:left="111" w:righ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职业中介机构在职业中介服务不成功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后未向劳动者退还所收取的中介服务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费</w:t>
            </w:r>
          </w:p>
        </w:tc>
        <w:tc>
          <w:tcPr>
            <w:tcW w:w="3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271" w:lineRule="auto"/>
              <w:ind w:left="137" w:righ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由劳动保障行政部门责令改正，并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可处以一千元以下的罚款</w:t>
            </w:r>
          </w:p>
        </w:tc>
        <w:tc>
          <w:tcPr>
            <w:tcW w:w="3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122" w:right="81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《就业服务与就业管理规定》（劳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动社会保障部令第28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号）第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73条</w:t>
            </w:r>
          </w:p>
        </w:tc>
        <w:tc>
          <w:tcPr>
            <w:tcW w:w="1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及时改正的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firstLine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4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45" w:lineRule="auto"/>
              <w:ind w:left="100" w:right="157" w:firstLine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职业中介机构发布的就业信息中包含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歧视性内容、为无合法身份证件的劳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动者提供中介服务、以暴力、胁迫、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欺诈等方式进行职业中介活动、超出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核准的业务范围经营</w:t>
            </w:r>
          </w:p>
        </w:tc>
        <w:tc>
          <w:tcPr>
            <w:tcW w:w="3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45" w:lineRule="auto"/>
              <w:ind w:left="137" w:righ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由劳动保障行政部门责令改正，没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有违法所得的，可处以一万元以下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的罚款;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有违法所得的，可处以不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超过违法所得三倍的罚款，但最高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不得超过三万元</w:t>
            </w:r>
          </w:p>
        </w:tc>
        <w:tc>
          <w:tcPr>
            <w:tcW w:w="3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55" w:lineRule="auto"/>
              <w:ind w:left="112" w:right="81" w:firstLine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《就业服务与就业管理规定》（劳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动社会保障部令第28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号）第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74条</w:t>
            </w:r>
          </w:p>
        </w:tc>
        <w:tc>
          <w:tcPr>
            <w:tcW w:w="1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41" w:lineRule="auto"/>
              <w:ind w:left="109" w:right="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有违法所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得，经责令改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正按时改正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firstLine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4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48" w:lineRule="auto"/>
              <w:ind w:left="111" w:righ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用人单位未及时为劳动者办理就业登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记手续</w:t>
            </w:r>
          </w:p>
        </w:tc>
        <w:tc>
          <w:tcPr>
            <w:tcW w:w="3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87" w:lineRule="auto"/>
              <w:ind w:left="137" w:righ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由劳动保障行政部门责令改正，并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可处以一千元以下的罚款</w:t>
            </w:r>
          </w:p>
        </w:tc>
        <w:tc>
          <w:tcPr>
            <w:tcW w:w="3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55" w:lineRule="auto"/>
              <w:ind w:left="112" w:right="81" w:firstLine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《就业服务与就业管理规定》（劳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动社会保障部令第28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号）第75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条</w:t>
            </w:r>
          </w:p>
        </w:tc>
        <w:tc>
          <w:tcPr>
            <w:tcW w:w="1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及时改正的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firstLine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</w:p>
        </w:tc>
        <w:tc>
          <w:tcPr>
            <w:tcW w:w="4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79" w:lineRule="auto"/>
              <w:ind w:left="111" w:righ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用人单位未及时为劳动者办理就业失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业登记手续</w:t>
            </w:r>
          </w:p>
        </w:tc>
        <w:tc>
          <w:tcPr>
            <w:tcW w:w="3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47" w:lineRule="auto"/>
              <w:ind w:left="137" w:righ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由人力资源行政部门责令限期改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正;拒不改正的，处以二百元以上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五百元以下罚款</w:t>
            </w:r>
          </w:p>
        </w:tc>
        <w:tc>
          <w:tcPr>
            <w:tcW w:w="3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《河南省就业促进条例》第</w:t>
            </w:r>
            <w:r>
              <w:rPr>
                <w:rFonts w:ascii="宋体" w:hAnsi="宋体" w:eastAsia="宋体" w:cs="宋体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58条</w:t>
            </w:r>
          </w:p>
        </w:tc>
        <w:tc>
          <w:tcPr>
            <w:tcW w:w="1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及时改正的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80346"/>
    <w:rsid w:val="6C48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2021-12-28T02:56:00Z</dcterms:created>
  <dc:creator>CC</dc:creator>
  <cp:lastModifiedBy>CC</cp:lastModifiedBy>
  <dcterms:modified xsi:type="dcterms:W3CDTF">2021-12-28T02:56:30Z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0A2F903B43424A7187B21EFE159EC629</vt:lpwstr>
  </property>
</Properties>
</file>