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700" w:lineRule="exact"/>
        <w:textAlignment w:val="auto"/>
        <w:rPr>
          <w:rFonts w:ascii="黑体" w:hAnsi="黑体" w:eastAsia="黑体" w:cs="黑体"/>
          <w:color w:val="0C0C0C"/>
          <w:sz w:val="32"/>
          <w:szCs w:val="32"/>
        </w:rPr>
      </w:pPr>
      <w:r>
        <w:rPr>
          <w:rFonts w:hint="eastAsia" w:ascii="黑体" w:hAnsi="黑体" w:eastAsia="黑体" w:cs="黑体"/>
          <w:color w:val="0C0C0C"/>
          <w:sz w:val="32"/>
          <w:szCs w:val="32"/>
        </w:rPr>
        <w:t>附件</w:t>
      </w:r>
      <w:r>
        <w:rPr>
          <w:rFonts w:ascii="黑体" w:hAnsi="黑体" w:eastAsia="黑体" w:cs="黑体"/>
          <w:color w:val="0C0C0C"/>
          <w:sz w:val="32"/>
          <w:szCs w:val="32"/>
        </w:rPr>
        <w:t>1-2</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color w:val="0C0C0C"/>
        </w:rPr>
      </w:pPr>
    </w:p>
    <w:p>
      <w:pPr>
        <w:keepNext w:val="0"/>
        <w:keepLines w:val="0"/>
        <w:pageBreakBefore w:val="0"/>
        <w:widowControl w:val="0"/>
        <w:shd w:val="clear" w:color="auto" w:fill="auto"/>
        <w:kinsoku/>
        <w:wordWrap/>
        <w:overflowPunct/>
        <w:topLinePunct w:val="0"/>
        <w:autoSpaceDE/>
        <w:autoSpaceDN/>
        <w:bidi w:val="0"/>
        <w:adjustRightInd/>
        <w:snapToGrid/>
        <w:spacing w:line="700" w:lineRule="exact"/>
        <w:jc w:val="center"/>
        <w:textAlignment w:val="auto"/>
        <w:rPr>
          <w:color w:val="0C0C0C"/>
        </w:rPr>
      </w:pPr>
      <w:bookmarkStart w:id="0" w:name="_GoBack"/>
      <w:r>
        <w:rPr>
          <w:rStyle w:val="5"/>
          <w:rFonts w:hint="eastAsia" w:ascii="方正小标宋简体" w:hAnsi="方正小标宋简体" w:eastAsia="方正小标宋简体" w:cs="方正小标宋简体"/>
          <w:b w:val="0"/>
          <w:bCs/>
          <w:color w:val="0C0C0C"/>
          <w:kern w:val="0"/>
          <w:sz w:val="44"/>
          <w:szCs w:val="44"/>
        </w:rPr>
        <w:t>贵州省</w:t>
      </w:r>
      <w:r>
        <w:rPr>
          <w:rStyle w:val="5"/>
          <w:rFonts w:hint="eastAsia" w:ascii="方正小标宋简体" w:hAnsi="方正小标宋简体" w:eastAsia="方正小标宋简体" w:cs="方正小标宋简体"/>
          <w:b w:val="0"/>
          <w:bCs/>
          <w:color w:val="0C0C0C"/>
          <w:sz w:val="44"/>
          <w:szCs w:val="44"/>
        </w:rPr>
        <w:t>医疗保障</w:t>
      </w:r>
      <w:r>
        <w:rPr>
          <w:rStyle w:val="5"/>
          <w:rFonts w:hint="eastAsia" w:ascii="方正小标宋简体" w:hAnsi="方正小标宋简体" w:eastAsia="方正小标宋简体" w:cs="方正小标宋简体"/>
          <w:b w:val="0"/>
          <w:bCs/>
          <w:color w:val="0C0C0C"/>
          <w:kern w:val="0"/>
          <w:sz w:val="44"/>
          <w:szCs w:val="44"/>
        </w:rPr>
        <w:t>信用评价标准（医药企业）</w:t>
      </w:r>
      <w:bookmarkEnd w:id="0"/>
    </w:p>
    <w:tbl>
      <w:tblPr>
        <w:tblStyle w:val="3"/>
        <w:tblW w:w="4998" w:type="pct"/>
        <w:jc w:val="center"/>
        <w:tblLayout w:type="autofit"/>
        <w:tblCellMar>
          <w:top w:w="0" w:type="dxa"/>
          <w:left w:w="0" w:type="dxa"/>
          <w:bottom w:w="0" w:type="dxa"/>
          <w:right w:w="0" w:type="dxa"/>
        </w:tblCellMar>
      </w:tblPr>
      <w:tblGrid>
        <w:gridCol w:w="510"/>
        <w:gridCol w:w="613"/>
        <w:gridCol w:w="698"/>
        <w:gridCol w:w="547"/>
        <w:gridCol w:w="1770"/>
        <w:gridCol w:w="9844"/>
      </w:tblGrid>
      <w:tr>
        <w:tblPrEx>
          <w:tblCellMar>
            <w:top w:w="0" w:type="dxa"/>
            <w:left w:w="0" w:type="dxa"/>
            <w:bottom w:w="0" w:type="dxa"/>
            <w:right w:w="0" w:type="dxa"/>
          </w:tblCellMar>
        </w:tblPrEx>
        <w:trPr>
          <w:trHeight w:val="1295" w:hRule="atLeast"/>
          <w:jc w:val="center"/>
        </w:trPr>
        <w:tc>
          <w:tcPr>
            <w:tcW w:w="1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sz w:val="24"/>
              </w:rPr>
            </w:pPr>
            <w:r>
              <w:rPr>
                <w:rFonts w:hint="eastAsia" w:ascii="仿宋_GB2312" w:hAnsi="宋体" w:eastAsia="仿宋_GB2312" w:cs="仿宋_GB2312"/>
                <w:color w:val="0C0C0C"/>
                <w:kern w:val="0"/>
                <w:sz w:val="24"/>
              </w:rPr>
              <w:t>序号</w:t>
            </w:r>
          </w:p>
        </w:tc>
        <w:tc>
          <w:tcPr>
            <w:tcW w:w="22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sz w:val="24"/>
              </w:rPr>
            </w:pPr>
            <w:r>
              <w:rPr>
                <w:rFonts w:hint="eastAsia" w:ascii="仿宋_GB2312" w:hAnsi="宋体" w:eastAsia="仿宋_GB2312" w:cs="仿宋_GB2312"/>
                <w:color w:val="0C0C0C"/>
                <w:kern w:val="0"/>
                <w:sz w:val="24"/>
              </w:rPr>
              <w:t>一级指标</w:t>
            </w:r>
          </w:p>
        </w:tc>
        <w:tc>
          <w:tcPr>
            <w:tcW w:w="25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sz w:val="24"/>
              </w:rPr>
            </w:pPr>
            <w:r>
              <w:rPr>
                <w:rFonts w:hint="eastAsia" w:ascii="仿宋_GB2312" w:hAnsi="宋体" w:eastAsia="仿宋_GB2312" w:cs="仿宋_GB2312"/>
                <w:color w:val="0C0C0C"/>
                <w:kern w:val="0"/>
                <w:sz w:val="24"/>
              </w:rPr>
              <w:t>二级指标</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sz w:val="24"/>
              </w:rPr>
            </w:pPr>
            <w:r>
              <w:rPr>
                <w:rFonts w:hint="eastAsia" w:ascii="仿宋_GB2312" w:hAnsi="宋体" w:eastAsia="仿宋_GB2312" w:cs="仿宋_GB2312"/>
                <w:color w:val="0C0C0C"/>
                <w:kern w:val="0"/>
                <w:sz w:val="24"/>
              </w:rPr>
              <w:t>评级</w:t>
            </w:r>
          </w:p>
        </w:tc>
        <w:tc>
          <w:tcPr>
            <w:tcW w:w="6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sz w:val="24"/>
              </w:rPr>
            </w:pPr>
            <w:r>
              <w:rPr>
                <w:rFonts w:hint="eastAsia" w:ascii="仿宋_GB2312" w:hAnsi="宋体" w:eastAsia="仿宋_GB2312" w:cs="仿宋_GB2312"/>
                <w:color w:val="0C0C0C"/>
                <w:kern w:val="0"/>
                <w:sz w:val="24"/>
              </w:rPr>
              <w:t>依据</w:t>
            </w:r>
          </w:p>
        </w:tc>
        <w:tc>
          <w:tcPr>
            <w:tcW w:w="35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textAlignment w:val="center"/>
              <w:rPr>
                <w:rFonts w:hint="eastAsia" w:ascii="仿宋_GB2312" w:hAnsi="宋体" w:eastAsia="仿宋_GB2312" w:cs="仿宋_GB2312"/>
                <w:color w:val="0C0C0C"/>
                <w:sz w:val="24"/>
                <w:lang w:val="en-US" w:eastAsia="zh-CN"/>
              </w:rPr>
            </w:pPr>
            <w:r>
              <w:rPr>
                <w:rFonts w:hint="eastAsia" w:ascii="仿宋_GB2312" w:hAnsi="宋体" w:eastAsia="仿宋_GB2312" w:cs="仿宋_GB2312"/>
                <w:color w:val="0C0C0C"/>
                <w:kern w:val="0"/>
                <w:sz w:val="24"/>
              </w:rPr>
              <w:t>评价</w:t>
            </w:r>
            <w:r>
              <w:rPr>
                <w:rFonts w:hint="eastAsia" w:ascii="仿宋_GB2312" w:hAnsi="宋体" w:cs="仿宋_GB2312"/>
                <w:color w:val="0C0C0C"/>
                <w:kern w:val="0"/>
                <w:sz w:val="24"/>
                <w:lang w:val="en-US" w:eastAsia="zh-CN"/>
              </w:rPr>
              <w:t>规则</w:t>
            </w:r>
          </w:p>
        </w:tc>
      </w:tr>
      <w:tr>
        <w:tblPrEx>
          <w:tblCellMar>
            <w:top w:w="0" w:type="dxa"/>
            <w:left w:w="0" w:type="dxa"/>
            <w:bottom w:w="0" w:type="dxa"/>
            <w:right w:w="0" w:type="dxa"/>
          </w:tblCellMar>
        </w:tblPrEx>
        <w:trPr>
          <w:trHeight w:val="1295" w:hRule="atLeast"/>
          <w:jc w:val="center"/>
        </w:trPr>
        <w:tc>
          <w:tcPr>
            <w:tcW w:w="134"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kern w:val="0"/>
                <w:sz w:val="24"/>
              </w:rPr>
            </w:pPr>
            <w:r>
              <w:rPr>
                <w:rFonts w:ascii="仿宋_GB2312" w:hAnsi="宋体" w:eastAsia="仿宋_GB2312" w:cs="仿宋_GB2312"/>
                <w:color w:val="0C0C0C"/>
                <w:kern w:val="0"/>
                <w:sz w:val="24"/>
              </w:rPr>
              <w:t>1</w:t>
            </w:r>
          </w:p>
        </w:tc>
        <w:tc>
          <w:tcPr>
            <w:tcW w:w="229"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kern w:val="0"/>
                <w:sz w:val="24"/>
              </w:rPr>
            </w:pPr>
            <w:r>
              <w:rPr>
                <w:rFonts w:hint="eastAsia" w:ascii="仿宋_GB2312" w:hAnsi="宋体" w:eastAsia="仿宋_GB2312" w:cs="仿宋_GB2312"/>
                <w:color w:val="0C0C0C"/>
                <w:kern w:val="0"/>
                <w:sz w:val="24"/>
              </w:rPr>
              <w:t>信用评价</w:t>
            </w:r>
          </w:p>
        </w:tc>
        <w:tc>
          <w:tcPr>
            <w:tcW w:w="259"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kern w:val="0"/>
                <w:sz w:val="24"/>
              </w:rPr>
            </w:pPr>
            <w:r>
              <w:rPr>
                <w:rFonts w:hint="eastAsia" w:ascii="仿宋_GB2312" w:hAnsi="宋体" w:eastAsia="仿宋_GB2312" w:cs="仿宋_GB2312"/>
                <w:color w:val="0C0C0C"/>
                <w:kern w:val="0"/>
                <w:sz w:val="24"/>
              </w:rPr>
              <w:t>信用评价</w:t>
            </w:r>
          </w:p>
        </w:tc>
        <w:tc>
          <w:tcPr>
            <w:tcW w:w="20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kern w:val="0"/>
                <w:sz w:val="24"/>
              </w:rPr>
            </w:pPr>
            <w:r>
              <w:rPr>
                <w:rFonts w:ascii="仿宋_GB2312" w:hAnsi="宋体" w:eastAsia="仿宋_GB2312" w:cs="仿宋_GB2312"/>
                <w:color w:val="0C0C0C"/>
                <w:kern w:val="0"/>
                <w:sz w:val="24"/>
              </w:rPr>
              <w:t>C</w:t>
            </w:r>
          </w:p>
        </w:tc>
        <w:tc>
          <w:tcPr>
            <w:tcW w:w="642"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kern w:val="0"/>
                <w:sz w:val="24"/>
              </w:rPr>
            </w:pPr>
            <w:r>
              <w:rPr>
                <w:rFonts w:hint="eastAsia" w:ascii="仿宋_GB2312" w:hAnsi="宋体" w:eastAsia="仿宋_GB2312" w:cs="仿宋_GB2312"/>
                <w:color w:val="0C0C0C"/>
                <w:kern w:val="0"/>
                <w:sz w:val="24"/>
              </w:rPr>
              <w:t>《国家医保局医药价格和招标采购指导中心医药价格和招采信用评级的裁量基准（</w:t>
            </w:r>
            <w:r>
              <w:rPr>
                <w:rFonts w:ascii="仿宋_GB2312" w:hAnsi="宋体" w:eastAsia="仿宋_GB2312" w:cs="仿宋_GB2312"/>
                <w:color w:val="0C0C0C"/>
                <w:kern w:val="0"/>
                <w:sz w:val="24"/>
              </w:rPr>
              <w:t>2020</w:t>
            </w:r>
            <w:r>
              <w:rPr>
                <w:rFonts w:hint="eastAsia" w:ascii="仿宋_GB2312" w:hAnsi="宋体" w:eastAsia="仿宋_GB2312" w:cs="仿宋_GB2312"/>
                <w:color w:val="0C0C0C"/>
                <w:kern w:val="0"/>
                <w:sz w:val="24"/>
              </w:rPr>
              <w:t>版）》</w:t>
            </w:r>
          </w:p>
        </w:tc>
        <w:tc>
          <w:tcPr>
            <w:tcW w:w="35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tabs>
                <w:tab w:val="left" w:pos="1624"/>
              </w:tabs>
              <w:jc w:val="left"/>
              <w:textAlignment w:val="center"/>
              <w:rPr>
                <w:rFonts w:hint="eastAsia" w:ascii="仿宋_GB2312" w:hAnsi="宋体" w:eastAsia="仿宋_GB2312" w:cs="仿宋_GB2312"/>
                <w:color w:val="0C0C0C"/>
                <w:kern w:val="0"/>
                <w:sz w:val="24"/>
                <w:lang w:eastAsia="zh-CN"/>
              </w:rPr>
            </w:pPr>
            <w:r>
              <w:rPr>
                <w:rFonts w:hint="eastAsia" w:ascii="仿宋_GB2312" w:hAnsi="宋体" w:eastAsia="仿宋_GB2312" w:cs="仿宋_GB2312"/>
                <w:color w:val="0C0C0C"/>
                <w:kern w:val="0"/>
                <w:sz w:val="24"/>
                <w:lang w:eastAsia="zh-CN"/>
              </w:rPr>
              <w:t>存在《</w:t>
            </w:r>
            <w:r>
              <w:rPr>
                <w:rFonts w:hint="eastAsia" w:ascii="仿宋_GB2312" w:hAnsi="宋体" w:eastAsia="仿宋_GB2312" w:cs="仿宋_GB2312"/>
                <w:color w:val="0C0C0C"/>
                <w:kern w:val="0"/>
                <w:sz w:val="24"/>
              </w:rPr>
              <w:t>医药价格和招采信用评级的裁量基准</w:t>
            </w:r>
            <w:r>
              <w:rPr>
                <w:rFonts w:hint="eastAsia" w:ascii="仿宋_GB2312" w:hAnsi="宋体" w:eastAsia="仿宋_GB2312" w:cs="仿宋_GB2312"/>
                <w:color w:val="0C0C0C"/>
                <w:kern w:val="0"/>
                <w:sz w:val="24"/>
                <w:lang w:eastAsia="zh-CN"/>
              </w:rPr>
              <w:t>》（</w:t>
            </w:r>
            <w:r>
              <w:rPr>
                <w:rFonts w:hint="eastAsia" w:ascii="仿宋_GB2312" w:hAnsi="宋体" w:eastAsia="仿宋_GB2312" w:cs="仿宋_GB2312"/>
                <w:color w:val="0C0C0C"/>
                <w:kern w:val="0"/>
                <w:sz w:val="24"/>
                <w:lang w:val="en-US" w:eastAsia="zh-CN"/>
              </w:rPr>
              <w:t>2020版</w:t>
            </w:r>
            <w:r>
              <w:rPr>
                <w:rFonts w:hint="eastAsia" w:ascii="仿宋_GB2312" w:hAnsi="宋体" w:eastAsia="仿宋_GB2312" w:cs="仿宋_GB2312"/>
                <w:color w:val="0C0C0C"/>
                <w:kern w:val="0"/>
                <w:sz w:val="24"/>
                <w:lang w:eastAsia="zh-CN"/>
              </w:rPr>
              <w:t>）明确失信等级评定为“一般”“中等”所列情形之一的。</w:t>
            </w:r>
          </w:p>
        </w:tc>
      </w:tr>
      <w:tr>
        <w:tblPrEx>
          <w:tblCellMar>
            <w:top w:w="0" w:type="dxa"/>
            <w:left w:w="0" w:type="dxa"/>
            <w:bottom w:w="0" w:type="dxa"/>
            <w:right w:w="0" w:type="dxa"/>
          </w:tblCellMar>
        </w:tblPrEx>
        <w:trPr>
          <w:trHeight w:val="1295" w:hRule="atLeast"/>
          <w:jc w:val="center"/>
        </w:trPr>
        <w:tc>
          <w:tcPr>
            <w:tcW w:w="134" w:type="pct"/>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kern w:val="0"/>
                <w:sz w:val="24"/>
              </w:rPr>
            </w:pPr>
            <w:r>
              <w:rPr>
                <w:rFonts w:ascii="仿宋_GB2312" w:hAnsi="宋体" w:eastAsia="仿宋_GB2312" w:cs="仿宋_GB2312"/>
                <w:color w:val="0C0C0C"/>
                <w:kern w:val="0"/>
                <w:sz w:val="24"/>
              </w:rPr>
              <w:t>2</w:t>
            </w:r>
          </w:p>
        </w:tc>
        <w:tc>
          <w:tcPr>
            <w:tcW w:w="229"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hd w:val="clear" w:color="auto" w:fill="auto"/>
              <w:jc w:val="center"/>
              <w:rPr>
                <w:rFonts w:ascii="仿宋_GB2312" w:hAnsi="宋体" w:eastAsia="仿宋_GB2312" w:cs="仿宋_GB2312"/>
                <w:color w:val="0C0C0C"/>
                <w:kern w:val="0"/>
                <w:sz w:val="24"/>
              </w:rPr>
            </w:pPr>
          </w:p>
        </w:tc>
        <w:tc>
          <w:tcPr>
            <w:tcW w:w="259"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hd w:val="clear" w:color="auto" w:fill="auto"/>
              <w:jc w:val="center"/>
              <w:rPr>
                <w:rFonts w:ascii="仿宋_GB2312" w:hAnsi="宋体" w:eastAsia="仿宋_GB2312" w:cs="仿宋_GB2312"/>
                <w:color w:val="0C0C0C"/>
                <w:kern w:val="0"/>
                <w:sz w:val="24"/>
              </w:rPr>
            </w:pPr>
          </w:p>
        </w:tc>
        <w:tc>
          <w:tcPr>
            <w:tcW w:w="205" w:type="pct"/>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kern w:val="0"/>
                <w:sz w:val="24"/>
              </w:rPr>
            </w:pPr>
            <w:r>
              <w:rPr>
                <w:rFonts w:ascii="仿宋_GB2312" w:hAnsi="宋体" w:eastAsia="仿宋_GB2312" w:cs="仿宋_GB2312"/>
                <w:color w:val="0C0C0C"/>
                <w:kern w:val="0"/>
                <w:sz w:val="24"/>
              </w:rPr>
              <w:t>D</w:t>
            </w:r>
          </w:p>
        </w:tc>
        <w:tc>
          <w:tcPr>
            <w:tcW w:w="642"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shd w:val="clear" w:color="auto" w:fill="auto"/>
              <w:jc w:val="left"/>
              <w:rPr>
                <w:rFonts w:ascii="仿宋_GB2312" w:hAnsi="宋体" w:eastAsia="仿宋_GB2312" w:cs="仿宋_GB2312"/>
                <w:color w:val="0C0C0C"/>
                <w:kern w:val="0"/>
                <w:sz w:val="24"/>
              </w:rPr>
            </w:pPr>
          </w:p>
        </w:tc>
        <w:tc>
          <w:tcPr>
            <w:tcW w:w="3527"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hd w:val="clear" w:color="auto" w:fill="auto"/>
              <w:jc w:val="left"/>
              <w:textAlignment w:val="center"/>
              <w:rPr>
                <w:rFonts w:ascii="仿宋_GB2312" w:hAnsi="宋体" w:eastAsia="仿宋_GB2312" w:cs="仿宋_GB2312"/>
                <w:color w:val="0C0C0C"/>
                <w:kern w:val="0"/>
                <w:sz w:val="24"/>
              </w:rPr>
            </w:pPr>
            <w:r>
              <w:rPr>
                <w:rFonts w:hint="eastAsia" w:ascii="仿宋_GB2312" w:hAnsi="宋体" w:eastAsia="仿宋_GB2312" w:cs="仿宋_GB2312"/>
                <w:color w:val="0C0C0C"/>
                <w:kern w:val="0"/>
                <w:sz w:val="24"/>
                <w:lang w:eastAsia="zh-CN"/>
              </w:rPr>
              <w:t>存在《</w:t>
            </w:r>
            <w:r>
              <w:rPr>
                <w:rFonts w:hint="eastAsia" w:ascii="仿宋_GB2312" w:hAnsi="宋体" w:eastAsia="仿宋_GB2312" w:cs="仿宋_GB2312"/>
                <w:color w:val="0C0C0C"/>
                <w:kern w:val="0"/>
                <w:sz w:val="24"/>
              </w:rPr>
              <w:t>医药价格和招采信用评级的裁量基准</w:t>
            </w:r>
            <w:r>
              <w:rPr>
                <w:rFonts w:hint="eastAsia" w:ascii="仿宋_GB2312" w:hAnsi="宋体" w:eastAsia="仿宋_GB2312" w:cs="仿宋_GB2312"/>
                <w:color w:val="0C0C0C"/>
                <w:kern w:val="0"/>
                <w:sz w:val="24"/>
                <w:lang w:eastAsia="zh-CN"/>
              </w:rPr>
              <w:t>》（</w:t>
            </w:r>
            <w:r>
              <w:rPr>
                <w:rFonts w:hint="eastAsia" w:ascii="仿宋_GB2312" w:hAnsi="宋体" w:eastAsia="仿宋_GB2312" w:cs="仿宋_GB2312"/>
                <w:color w:val="0C0C0C"/>
                <w:kern w:val="0"/>
                <w:sz w:val="24"/>
                <w:lang w:val="en-US" w:eastAsia="zh-CN"/>
              </w:rPr>
              <w:t>2020版</w:t>
            </w:r>
            <w:r>
              <w:rPr>
                <w:rFonts w:hint="eastAsia" w:ascii="仿宋_GB2312" w:hAnsi="宋体" w:eastAsia="仿宋_GB2312" w:cs="仿宋_GB2312"/>
                <w:color w:val="0C0C0C"/>
                <w:kern w:val="0"/>
                <w:sz w:val="24"/>
                <w:lang w:eastAsia="zh-CN"/>
              </w:rPr>
              <w:t>）明确失信等级评定为“严重”所列情形之一的。</w:t>
            </w:r>
          </w:p>
        </w:tc>
      </w:tr>
      <w:tr>
        <w:tblPrEx>
          <w:tblCellMar>
            <w:top w:w="0" w:type="dxa"/>
            <w:left w:w="0" w:type="dxa"/>
            <w:bottom w:w="0" w:type="dxa"/>
            <w:right w:w="0" w:type="dxa"/>
          </w:tblCellMar>
        </w:tblPrEx>
        <w:trPr>
          <w:trHeight w:val="1295" w:hRule="atLeast"/>
          <w:jc w:val="center"/>
        </w:trPr>
        <w:tc>
          <w:tcPr>
            <w:tcW w:w="13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hd w:val="clear" w:color="auto" w:fill="auto"/>
              <w:jc w:val="center"/>
              <w:textAlignment w:val="center"/>
              <w:rPr>
                <w:rFonts w:hint="eastAsia" w:ascii="仿宋_GB2312" w:hAnsi="宋体" w:eastAsia="仿宋_GB2312" w:cs="仿宋_GB2312"/>
                <w:color w:val="0C0C0C"/>
                <w:kern w:val="0"/>
                <w:sz w:val="24"/>
                <w:lang w:eastAsia="zh-CN"/>
              </w:rPr>
            </w:pPr>
            <w:r>
              <w:rPr>
                <w:rFonts w:hint="eastAsia" w:ascii="仿宋_GB2312" w:hAnsi="宋体" w:eastAsia="仿宋_GB2312" w:cs="仿宋_GB2312"/>
                <w:color w:val="0C0C0C"/>
                <w:kern w:val="0"/>
                <w:sz w:val="24"/>
                <w:lang w:val="en-US" w:eastAsia="zh-CN"/>
              </w:rPr>
              <w:t>3</w:t>
            </w:r>
          </w:p>
        </w:tc>
        <w:tc>
          <w:tcPr>
            <w:tcW w:w="22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hd w:val="clear" w:color="auto" w:fill="auto"/>
              <w:jc w:val="center"/>
              <w:rPr>
                <w:rFonts w:ascii="仿宋_GB2312" w:hAnsi="宋体" w:eastAsia="仿宋_GB2312" w:cs="仿宋_GB2312"/>
                <w:color w:val="0C0C0C"/>
                <w:kern w:val="0"/>
                <w:sz w:val="24"/>
              </w:rPr>
            </w:pPr>
          </w:p>
        </w:tc>
        <w:tc>
          <w:tcPr>
            <w:tcW w:w="25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hd w:val="clear" w:color="auto" w:fill="auto"/>
              <w:jc w:val="center"/>
              <w:rPr>
                <w:rFonts w:ascii="仿宋_GB2312" w:hAnsi="宋体" w:eastAsia="仿宋_GB2312" w:cs="仿宋_GB2312"/>
                <w:color w:val="0C0C0C"/>
                <w:kern w:val="0"/>
                <w:sz w:val="24"/>
              </w:rPr>
            </w:pPr>
          </w:p>
        </w:tc>
        <w:tc>
          <w:tcPr>
            <w:tcW w:w="20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hd w:val="clear" w:color="auto" w:fill="auto"/>
              <w:jc w:val="center"/>
              <w:textAlignment w:val="center"/>
              <w:rPr>
                <w:rFonts w:ascii="仿宋_GB2312" w:hAnsi="宋体" w:eastAsia="仿宋_GB2312" w:cs="仿宋_GB2312"/>
                <w:color w:val="0C0C0C"/>
                <w:kern w:val="0"/>
                <w:sz w:val="24"/>
              </w:rPr>
            </w:pPr>
            <w:r>
              <w:rPr>
                <w:rFonts w:ascii="仿宋_GB2312" w:hAnsi="宋体" w:eastAsia="仿宋_GB2312" w:cs="仿宋_GB2312"/>
                <w:color w:val="0C0C0C"/>
                <w:kern w:val="0"/>
                <w:sz w:val="24"/>
              </w:rPr>
              <w:t>E</w:t>
            </w:r>
          </w:p>
        </w:tc>
        <w:tc>
          <w:tcPr>
            <w:tcW w:w="642"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hd w:val="clear" w:color="auto" w:fill="auto"/>
              <w:jc w:val="left"/>
              <w:rPr>
                <w:rFonts w:ascii="仿宋_GB2312" w:hAnsi="宋体" w:eastAsia="仿宋_GB2312" w:cs="仿宋_GB2312"/>
                <w:color w:val="0C0C0C"/>
                <w:kern w:val="0"/>
                <w:sz w:val="24"/>
              </w:rPr>
            </w:pPr>
          </w:p>
        </w:tc>
        <w:tc>
          <w:tcPr>
            <w:tcW w:w="352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hd w:val="clear" w:color="auto" w:fill="auto"/>
              <w:jc w:val="left"/>
              <w:textAlignment w:val="center"/>
              <w:rPr>
                <w:rFonts w:ascii="仿宋_GB2312" w:hAnsi="宋体" w:eastAsia="仿宋_GB2312" w:cs="仿宋_GB2312"/>
                <w:color w:val="0C0C0C"/>
                <w:kern w:val="0"/>
                <w:sz w:val="24"/>
              </w:rPr>
            </w:pPr>
            <w:r>
              <w:rPr>
                <w:rFonts w:hint="eastAsia" w:ascii="仿宋_GB2312" w:hAnsi="宋体" w:eastAsia="仿宋_GB2312" w:cs="仿宋_GB2312"/>
                <w:color w:val="0C0C0C"/>
                <w:kern w:val="0"/>
                <w:sz w:val="24"/>
                <w:lang w:eastAsia="zh-CN"/>
              </w:rPr>
              <w:t>存在《</w:t>
            </w:r>
            <w:r>
              <w:rPr>
                <w:rFonts w:hint="eastAsia" w:ascii="仿宋_GB2312" w:hAnsi="宋体" w:eastAsia="仿宋_GB2312" w:cs="仿宋_GB2312"/>
                <w:color w:val="0C0C0C"/>
                <w:kern w:val="0"/>
                <w:sz w:val="24"/>
              </w:rPr>
              <w:t>医药价格和招采信用评级的裁量基准</w:t>
            </w:r>
            <w:r>
              <w:rPr>
                <w:rFonts w:hint="eastAsia" w:ascii="仿宋_GB2312" w:hAnsi="宋体" w:eastAsia="仿宋_GB2312" w:cs="仿宋_GB2312"/>
                <w:color w:val="0C0C0C"/>
                <w:kern w:val="0"/>
                <w:sz w:val="24"/>
                <w:lang w:eastAsia="zh-CN"/>
              </w:rPr>
              <w:t>》（</w:t>
            </w:r>
            <w:r>
              <w:rPr>
                <w:rFonts w:hint="eastAsia" w:ascii="仿宋_GB2312" w:hAnsi="宋体" w:eastAsia="仿宋_GB2312" w:cs="仿宋_GB2312"/>
                <w:color w:val="0C0C0C"/>
                <w:kern w:val="0"/>
                <w:sz w:val="24"/>
                <w:lang w:val="en-US" w:eastAsia="zh-CN"/>
              </w:rPr>
              <w:t>2020版</w:t>
            </w:r>
            <w:r>
              <w:rPr>
                <w:rFonts w:hint="eastAsia" w:ascii="仿宋_GB2312" w:hAnsi="宋体" w:eastAsia="仿宋_GB2312" w:cs="仿宋_GB2312"/>
                <w:color w:val="0C0C0C"/>
                <w:kern w:val="0"/>
                <w:sz w:val="24"/>
                <w:lang w:eastAsia="zh-CN"/>
              </w:rPr>
              <w:t>）明确失信等级评定为“特别严重”所列情形之一的。</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GUzMDA0MzkzMDkxODkzOWNjYjMxN2QzNTAyZTgifQ=="/>
  </w:docVars>
  <w:rsids>
    <w:rsidRoot w:val="6AEC241A"/>
    <w:rsid w:val="6AEC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2022-11-03T08:51:00Z</dcterms:created>
  <dc:creator>吴钰鑫</dc:creator>
  <cp:lastModifiedBy>吴钰鑫</cp:lastModifiedBy>
  <dcterms:modified xsi:type="dcterms:W3CDTF">2022-11-03T08:51:53Z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1EAD909BD28F4B1AB79BC47397DE92E7</vt:lpwstr>
  </property>
</Properties>
</file>