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atLeas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1-1</w:t>
      </w:r>
    </w:p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color w:val="0C0C0C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贵州省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医疗保障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信用评价标准（定点医药机构）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630"/>
        <w:gridCol w:w="1347"/>
        <w:gridCol w:w="557"/>
        <w:gridCol w:w="3942"/>
        <w:gridCol w:w="6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序号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一级指标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二级指标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tabs>
                <w:tab w:val="left" w:pos="405"/>
              </w:tabs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分值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依据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cs="宋体"/>
                <w:color w:val="0C0C0C"/>
                <w:sz w:val="24"/>
              </w:rPr>
            </w:pPr>
            <w:r>
              <w:rPr>
                <w:rFonts w:hint="eastAsia" w:ascii="仿宋_GB2312" w:hAnsi="宋体" w:cs="仿宋_GB2312"/>
                <w:color w:val="0C0C0C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1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协议履行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较轻、一般违约责任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20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《医疗保障定点医疗机构服务协议》《医疗保障定点零售药店服务协议》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宋体" w:cs="宋体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存在“较轻违约责任”“一般违约责任”所列情形之一，受到医保经办机构处理的，每发生一次扣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2</w:t>
            </w:r>
          </w:p>
        </w:tc>
        <w:tc>
          <w:tcPr>
            <w:tcW w:w="2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较重违约责任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25</w:t>
            </w:r>
          </w:p>
        </w:tc>
        <w:tc>
          <w:tcPr>
            <w:tcW w:w="140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存在“较重违约责任”所列情形之一，受到医保经办机构处理的，每发生一次扣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3</w:t>
            </w:r>
          </w:p>
        </w:tc>
        <w:tc>
          <w:tcPr>
            <w:tcW w:w="2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严重违约责任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30</w:t>
            </w:r>
          </w:p>
        </w:tc>
        <w:tc>
          <w:tcPr>
            <w:tcW w:w="140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存在“严重违约责任”所列情形之一，受到医保经办机构处理的，每发生一次扣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4</w:t>
            </w:r>
          </w:p>
        </w:tc>
        <w:tc>
          <w:tcPr>
            <w:tcW w:w="2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特别严重违约责任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——</w:t>
            </w:r>
          </w:p>
        </w:tc>
        <w:tc>
          <w:tcPr>
            <w:tcW w:w="140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存在“特别严重违约责任”所列情形之一，受到医保经办机构处理的，直接定为最低等级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val="en-US" w:eastAsia="zh-CN"/>
              </w:rPr>
              <w:t>E级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5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行政处理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行政处罚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20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《医疗保障基金使用监督管理条例》等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被相关行政部门给予行政处罚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，每发生一次扣</w:t>
            </w:r>
            <w:r>
              <w:rPr>
                <w:rFonts w:hint="eastAsia" w:ascii="仿宋_GB2312" w:hAnsi="宋体" w:cs="仿宋_GB2312"/>
                <w:color w:val="0C0C0C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6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司法处理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司法处理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——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《医疗保障基金使用监督管理条例》等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定点医</w:t>
            </w:r>
            <w:r>
              <w:rPr>
                <w:rFonts w:hint="eastAsia" w:ascii="仿宋_GB2312" w:hAnsi="宋体" w:cs="仿宋_GB2312"/>
                <w:color w:val="0C0C0C"/>
                <w:sz w:val="24"/>
                <w:lang w:val="en-US" w:eastAsia="zh-CN"/>
              </w:rPr>
              <w:t>药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机构及其工作人员因欺诈骗保被司法机关追究治安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刑事责任的，直接定为最低等级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val="en-US" w:eastAsia="zh-CN"/>
              </w:rPr>
              <w:t>E级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奖励情况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表扬嘉奖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5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——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受到国家、省、市（州）医疗保障部门通报表扬的，分别得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、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、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分，同一事项受到多层级通报表扬的，按最高分予以得分。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147C2D12"/>
    <w:rsid w:val="147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2022-11-03T08:47:00Z</dcterms:created>
  <dc:creator>吴钰鑫</dc:creator>
  <cp:lastModifiedBy>吴钰鑫</cp:lastModifiedBy>
  <dcterms:modified xsi:type="dcterms:W3CDTF">2022-11-03T08:50:37Z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02563512ACB046E6BFE6EE3EAA397CA3</vt:lpwstr>
  </property>
</Properties>
</file>